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6" w:rsidRPr="00F90415" w:rsidRDefault="008979B6" w:rsidP="008979B6">
      <w:pPr>
        <w:spacing w:after="182" w:line="328" w:lineRule="atLeast"/>
        <w:ind w:left="284" w:firstLine="182"/>
        <w:jc w:val="both"/>
        <w:rPr>
          <w:rFonts w:ascii="Arial" w:eastAsia="Times New Roman" w:hAnsi="Arial" w:cs="Arial"/>
          <w:sz w:val="24"/>
          <w:szCs w:val="24"/>
          <w:lang w:eastAsia="lt-LT"/>
        </w:rPr>
      </w:pPr>
      <w:r w:rsidRPr="00F90415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8979B6" w:rsidRDefault="008979B6" w:rsidP="008979B6">
      <w:pPr>
        <w:spacing w:after="182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INFORMAVIMO PASLAUGOS DĖL GIMDOS KAKLELIO PIKTYBINIŲ NAVIKŲ PROFILAKTIKOS VYKDYMAS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METAIS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RASEINIŲ RAJONO SAVIVALDYBĖJE</w:t>
      </w:r>
    </w:p>
    <w:p w:rsidR="008979B6" w:rsidRPr="00F90415" w:rsidRDefault="008979B6" w:rsidP="008979B6">
      <w:pPr>
        <w:spacing w:after="182" w:line="328" w:lineRule="atLeast"/>
        <w:ind w:firstLine="182"/>
        <w:jc w:val="center"/>
        <w:rPr>
          <w:rFonts w:ascii="Arial" w:eastAsia="Times New Roman" w:hAnsi="Arial" w:cs="Arial"/>
          <w:sz w:val="24"/>
          <w:szCs w:val="24"/>
          <w:lang w:eastAsia="lt-LT"/>
        </w:rPr>
      </w:pPr>
    </w:p>
    <w:tbl>
      <w:tblPr>
        <w:tblW w:w="9941" w:type="dxa"/>
        <w:tblLayout w:type="fixed"/>
        <w:tblCellMar>
          <w:top w:w="18" w:type="dxa"/>
          <w:left w:w="18" w:type="dxa"/>
          <w:right w:w="18" w:type="dxa"/>
        </w:tblCellMar>
        <w:tblLook w:val="04A0"/>
      </w:tblPr>
      <w:tblGrid>
        <w:gridCol w:w="2570"/>
        <w:gridCol w:w="1276"/>
        <w:gridCol w:w="1417"/>
        <w:gridCol w:w="567"/>
        <w:gridCol w:w="1418"/>
        <w:gridCol w:w="1417"/>
        <w:gridCol w:w="567"/>
        <w:gridCol w:w="709"/>
      </w:tblGrid>
      <w:tr w:rsidR="008979B6" w:rsidRPr="00C00A99" w:rsidTr="008979B6">
        <w:trPr>
          <w:trHeight w:val="264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teikiančios įstaigos 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Default="008979B6" w:rsidP="0089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Paslaugą teiki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an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čioje įstaigoje įregistruotų moterų </w:t>
            </w:r>
          </w:p>
          <w:p w:rsidR="008979B6" w:rsidRPr="00C00A99" w:rsidRDefault="008979B6" w:rsidP="0089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25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-6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m.) skaičius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Planuojama patikrinti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pacienčių 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per ataskaitinį laikotarpį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89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Inform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uotų pacienčių skaičius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B6" w:rsidRPr="00C00A99" w:rsidRDefault="008979B6" w:rsidP="0089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Citologinio tepinėlio paėmimo paslauga</w:t>
            </w:r>
          </w:p>
        </w:tc>
      </w:tr>
      <w:tr w:rsidR="008979B6" w:rsidRPr="00C00A99" w:rsidTr="008979B6">
        <w:trPr>
          <w:trHeight w:val="1581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</w:t>
            </w: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br/>
              <w:t>(nuo paslaugą teikiančioje įstaigoje įregistruotų)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vnt.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Pr="00C00A99" w:rsidRDefault="008979B6" w:rsidP="0089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%)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Raseinių pirminės sveikatos priežiūros centras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45,92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Viešoji įstaiga  Ariogalos pirminės sveikatos priežiūros centras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60,99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IĮ G.</w:t>
            </w:r>
            <w:r w:rsidR="00FC186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RADAVIČIAUS KLINIKA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Pr="00C00A99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39,39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klinika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0,00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Uždaroji akcinė bendrovė Raseinių šeimos gydytojų centras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57,87</w:t>
            </w:r>
          </w:p>
        </w:tc>
      </w:tr>
      <w:tr w:rsidR="008979B6" w:rsidRPr="00C00A99" w:rsidTr="002A3ACC">
        <w:trPr>
          <w:trHeight w:val="264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C00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6313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91" w:type="dxa"/>
              <w:right w:w="18" w:type="dxa"/>
            </w:tcMar>
            <w:vAlign w:val="center"/>
            <w:hideMark/>
          </w:tcPr>
          <w:p w:rsidR="008979B6" w:rsidRPr="00C00A99" w:rsidRDefault="008979B6" w:rsidP="0023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9B6" w:rsidRDefault="008979B6" w:rsidP="002A3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46,13</w:t>
            </w:r>
          </w:p>
        </w:tc>
      </w:tr>
    </w:tbl>
    <w:p w:rsidR="008979B6" w:rsidRPr="00CA22A2" w:rsidRDefault="008979B6" w:rsidP="00CA22A2">
      <w:pPr>
        <w:tabs>
          <w:tab w:val="left" w:pos="10206"/>
        </w:tabs>
        <w:spacing w:line="360" w:lineRule="auto"/>
        <w:rPr>
          <w:rFonts w:ascii="Times New Roman" w:hAnsi="Times New Roman"/>
          <w:sz w:val="28"/>
          <w:szCs w:val="24"/>
        </w:rPr>
      </w:pPr>
    </w:p>
    <w:p w:rsidR="00EC08E0" w:rsidRPr="00CA22A2" w:rsidRDefault="00EC08E0" w:rsidP="00CA22A2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t>Kauno teritorinės ligonių kasos duomenimis, 201</w:t>
      </w:r>
      <w:r w:rsidR="00CA22A2"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lyginant su 201</w:t>
      </w:r>
      <w:r w:rsidR="00CA22A2">
        <w:rPr>
          <w:rFonts w:ascii="Times New Roman" w:hAnsi="Times New Roman"/>
          <w:sz w:val="24"/>
        </w:rPr>
        <w:t xml:space="preserve">5 </w:t>
      </w:r>
      <w:r w:rsidRPr="00CA22A2">
        <w:rPr>
          <w:rFonts w:ascii="Times New Roman" w:hAnsi="Times New Roman"/>
          <w:sz w:val="24"/>
        </w:rPr>
        <w:t xml:space="preserve">m. informavimo dėl gimdos kaklelio piktybinių navikų profilaktikos paslaugos vykdymo procentas </w:t>
      </w:r>
      <w:r w:rsidR="00CC6EB9" w:rsidRPr="003548AF">
        <w:rPr>
          <w:rFonts w:ascii="Times New Roman" w:hAnsi="Times New Roman"/>
          <w:iCs/>
        </w:rPr>
        <w:t xml:space="preserve">daugelyje savivaldybių </w:t>
      </w:r>
      <w:r w:rsidR="00CC6EB9">
        <w:rPr>
          <w:rFonts w:ascii="Times New Roman" w:hAnsi="Times New Roman"/>
          <w:sz w:val="24"/>
        </w:rPr>
        <w:t>sumažėjo</w:t>
      </w:r>
      <w:r w:rsidRPr="00CA22A2">
        <w:rPr>
          <w:rFonts w:ascii="Times New Roman" w:hAnsi="Times New Roman"/>
          <w:sz w:val="24"/>
        </w:rPr>
        <w:t>. 201</w:t>
      </w:r>
      <w:r w:rsidR="00CC6EB9">
        <w:rPr>
          <w:rFonts w:ascii="Times New Roman" w:hAnsi="Times New Roman"/>
          <w:sz w:val="24"/>
        </w:rPr>
        <w:t xml:space="preserve">6 </w:t>
      </w:r>
      <w:r w:rsidRPr="00CA22A2">
        <w:rPr>
          <w:rFonts w:ascii="Times New Roman" w:hAnsi="Times New Roman"/>
          <w:sz w:val="24"/>
        </w:rPr>
        <w:t xml:space="preserve">m. šios paslaugos vykdymas didžiausias buvo </w:t>
      </w:r>
      <w:r w:rsidR="00CC6EB9">
        <w:rPr>
          <w:rFonts w:ascii="Times New Roman" w:hAnsi="Times New Roman"/>
          <w:sz w:val="24"/>
        </w:rPr>
        <w:t>Prienų</w:t>
      </w:r>
      <w:r w:rsidRPr="00CA22A2">
        <w:rPr>
          <w:rFonts w:ascii="Times New Roman" w:hAnsi="Times New Roman"/>
          <w:sz w:val="24"/>
        </w:rPr>
        <w:t xml:space="preserve"> rajono savivaldybėje (</w:t>
      </w:r>
      <w:r w:rsidR="00CC6EB9">
        <w:rPr>
          <w:rFonts w:ascii="Times New Roman" w:hAnsi="Times New Roman"/>
          <w:sz w:val="24"/>
        </w:rPr>
        <w:t>174,21</w:t>
      </w:r>
      <w:r w:rsidRPr="00CA22A2">
        <w:rPr>
          <w:rFonts w:ascii="Times New Roman" w:hAnsi="Times New Roman"/>
          <w:sz w:val="24"/>
        </w:rPr>
        <w:t xml:space="preserve"> proc.) (1 pav.).</w:t>
      </w:r>
    </w:p>
    <w:p w:rsidR="00EC08E0" w:rsidRDefault="00EC08E0" w:rsidP="00EC08E0">
      <w:pPr>
        <w:autoSpaceDE w:val="0"/>
        <w:autoSpaceDN w:val="0"/>
        <w:adjustRightInd w:val="0"/>
        <w:jc w:val="center"/>
        <w:rPr>
          <w:noProof/>
          <w:lang w:eastAsia="lt-LT"/>
        </w:rPr>
      </w:pPr>
      <w:r w:rsidRPr="00EC08E0">
        <w:rPr>
          <w:noProof/>
          <w:lang w:eastAsia="lt-LT"/>
        </w:rPr>
        <w:lastRenderedPageBreak/>
        <w:drawing>
          <wp:inline distT="0" distB="0" distL="0" distR="0">
            <wp:extent cx="4572000" cy="3238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08E0" w:rsidRPr="00CA22A2" w:rsidRDefault="00EC08E0" w:rsidP="00EC08E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 w:rsidRPr="00CA22A2">
        <w:rPr>
          <w:rFonts w:ascii="Times New Roman" w:hAnsi="Times New Roman"/>
          <w:bCs/>
          <w:i/>
          <w:iCs/>
        </w:rPr>
        <w:t>1 pav.</w:t>
      </w:r>
      <w:r w:rsidRPr="00CA22A2">
        <w:rPr>
          <w:rFonts w:ascii="Times New Roman" w:hAnsi="Times New Roman"/>
          <w:b/>
          <w:bCs/>
          <w:i/>
          <w:iCs/>
        </w:rPr>
        <w:t xml:space="preserve"> </w:t>
      </w:r>
      <w:r w:rsidRPr="00CA22A2">
        <w:rPr>
          <w:rFonts w:ascii="Times New Roman" w:hAnsi="Times New Roman"/>
          <w:b/>
          <w:i/>
          <w:iCs/>
        </w:rPr>
        <w:t>Gimdos kaklelio piktybinių navikų profilaktikos programos informavimo paslaugos vykdymas Kauno apskrityje 201</w:t>
      </w:r>
      <w:r w:rsidR="00CA22A2">
        <w:rPr>
          <w:rFonts w:ascii="Times New Roman" w:hAnsi="Times New Roman"/>
          <w:b/>
          <w:i/>
          <w:iCs/>
        </w:rPr>
        <w:t>5</w:t>
      </w:r>
      <w:r w:rsidRPr="00CA22A2">
        <w:rPr>
          <w:rFonts w:ascii="Times New Roman" w:hAnsi="Times New Roman"/>
          <w:b/>
          <w:i/>
          <w:iCs/>
        </w:rPr>
        <w:t>-201</w:t>
      </w:r>
      <w:r w:rsidR="00CA22A2">
        <w:rPr>
          <w:rFonts w:ascii="Times New Roman" w:hAnsi="Times New Roman"/>
          <w:b/>
          <w:i/>
          <w:iCs/>
        </w:rPr>
        <w:t>6</w:t>
      </w:r>
      <w:r w:rsidRPr="00CA22A2">
        <w:rPr>
          <w:rFonts w:ascii="Times New Roman" w:hAnsi="Times New Roman"/>
          <w:b/>
          <w:i/>
          <w:iCs/>
        </w:rPr>
        <w:t xml:space="preserve"> m.</w:t>
      </w:r>
    </w:p>
    <w:p w:rsidR="00EC08E0" w:rsidRPr="001D589B" w:rsidRDefault="00EC08E0" w:rsidP="00EC08E0">
      <w:pPr>
        <w:autoSpaceDE w:val="0"/>
        <w:autoSpaceDN w:val="0"/>
        <w:adjustRightInd w:val="0"/>
        <w:jc w:val="center"/>
      </w:pPr>
    </w:p>
    <w:p w:rsidR="00EC08E0" w:rsidRPr="00CA22A2" w:rsidRDefault="00EC08E0" w:rsidP="00CA22A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t>201</w:t>
      </w:r>
      <w:r w:rsidR="00CA22A2"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</w:t>
      </w:r>
      <w:r w:rsidR="00CA22A2"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informuotų moterų dėl gimdos kaklelio piktybinių navikų procentas </w:t>
      </w:r>
      <w:r w:rsidR="00CA22A2">
        <w:rPr>
          <w:rFonts w:ascii="Times New Roman" w:hAnsi="Times New Roman"/>
          <w:sz w:val="24"/>
        </w:rPr>
        <w:t>sumažėjo</w:t>
      </w:r>
      <w:r w:rsidRPr="00CA22A2">
        <w:rPr>
          <w:rFonts w:ascii="Times New Roman" w:hAnsi="Times New Roman"/>
          <w:sz w:val="24"/>
        </w:rPr>
        <w:t xml:space="preserve"> lyginant su 201</w:t>
      </w:r>
      <w:r w:rsidR="00CA22A2">
        <w:rPr>
          <w:rFonts w:ascii="Times New Roman" w:hAnsi="Times New Roman"/>
          <w:sz w:val="24"/>
        </w:rPr>
        <w:t>5</w:t>
      </w:r>
      <w:r w:rsidRPr="00CA22A2">
        <w:rPr>
          <w:rFonts w:ascii="Times New Roman" w:hAnsi="Times New Roman"/>
          <w:sz w:val="24"/>
        </w:rPr>
        <w:t xml:space="preserve"> m. 201</w:t>
      </w:r>
      <w:r w:rsidR="00CA22A2"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</w:t>
      </w:r>
      <w:r w:rsidR="00CA22A2"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informuojamų moterų procentas dėl šios ligos buvo nežymiai mažesnis už Kauno apskrities rodiklį (2 pav.). </w:t>
      </w:r>
    </w:p>
    <w:p w:rsidR="00EC08E0" w:rsidRPr="001D589B" w:rsidRDefault="00EC08E0" w:rsidP="00EC08E0">
      <w:pPr>
        <w:autoSpaceDE w:val="0"/>
        <w:autoSpaceDN w:val="0"/>
        <w:adjustRightInd w:val="0"/>
        <w:jc w:val="center"/>
      </w:pPr>
      <w:r w:rsidRPr="00EC08E0">
        <w:rPr>
          <w:noProof/>
          <w:lang w:eastAsia="lt-LT"/>
        </w:rPr>
        <w:drawing>
          <wp:inline distT="0" distB="0" distL="0" distR="0">
            <wp:extent cx="4572000" cy="2743200"/>
            <wp:effectExtent l="1905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08E0" w:rsidRPr="00CC6EB9" w:rsidRDefault="00EC08E0" w:rsidP="00CC6E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CA22A2">
        <w:rPr>
          <w:rFonts w:ascii="Times New Roman" w:hAnsi="Times New Roman"/>
          <w:i/>
        </w:rPr>
        <w:t>2 pav.</w:t>
      </w:r>
      <w:r w:rsidRPr="00CA22A2">
        <w:rPr>
          <w:rFonts w:ascii="Times New Roman" w:hAnsi="Times New Roman"/>
          <w:b/>
          <w:i/>
        </w:rPr>
        <w:t xml:space="preserve"> </w:t>
      </w:r>
      <w:r w:rsidRPr="00CC6EB9">
        <w:rPr>
          <w:rFonts w:ascii="Times New Roman" w:hAnsi="Times New Roman"/>
          <w:b/>
          <w:i/>
          <w:iCs/>
        </w:rPr>
        <w:t xml:space="preserve">Gimdos kaklelio piktybinių navikų profilaktikos  programos informavimo paslaugos vykdymas Kauno apskrityje ir </w:t>
      </w:r>
      <w:r w:rsidR="00CA22A2" w:rsidRPr="00CC6EB9">
        <w:rPr>
          <w:rFonts w:ascii="Times New Roman" w:hAnsi="Times New Roman"/>
          <w:b/>
          <w:i/>
          <w:iCs/>
        </w:rPr>
        <w:t>Raseinių</w:t>
      </w:r>
      <w:r w:rsidRPr="00CC6EB9">
        <w:rPr>
          <w:rFonts w:ascii="Times New Roman" w:hAnsi="Times New Roman"/>
          <w:b/>
          <w:i/>
          <w:iCs/>
        </w:rPr>
        <w:t xml:space="preserve"> rajone 2001</w:t>
      </w:r>
      <w:r w:rsidR="00CA22A2" w:rsidRPr="00CC6EB9">
        <w:rPr>
          <w:rFonts w:ascii="Times New Roman" w:hAnsi="Times New Roman"/>
          <w:b/>
          <w:i/>
          <w:iCs/>
        </w:rPr>
        <w:t>3</w:t>
      </w:r>
      <w:r w:rsidRPr="00CC6EB9">
        <w:rPr>
          <w:rFonts w:ascii="Times New Roman" w:hAnsi="Times New Roman"/>
          <w:b/>
          <w:i/>
          <w:iCs/>
        </w:rPr>
        <w:t xml:space="preserve"> – 201</w:t>
      </w:r>
      <w:r w:rsidR="00CA22A2" w:rsidRPr="00CC6EB9">
        <w:rPr>
          <w:rFonts w:ascii="Times New Roman" w:hAnsi="Times New Roman"/>
          <w:b/>
          <w:i/>
          <w:iCs/>
        </w:rPr>
        <w:t>6</w:t>
      </w:r>
      <w:r w:rsidRPr="00CC6EB9">
        <w:rPr>
          <w:rFonts w:ascii="Times New Roman" w:hAnsi="Times New Roman"/>
          <w:b/>
          <w:i/>
          <w:iCs/>
        </w:rPr>
        <w:t xml:space="preserve"> m.</w:t>
      </w:r>
      <w:r w:rsidRPr="00CC6EB9">
        <w:rPr>
          <w:rFonts w:ascii="Times New Roman" w:hAnsi="Times New Roman"/>
          <w:b/>
        </w:rPr>
        <w:t xml:space="preserve"> </w:t>
      </w:r>
    </w:p>
    <w:p w:rsidR="00EC08E0" w:rsidRPr="00CA22A2" w:rsidRDefault="00EC08E0" w:rsidP="00CA22A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</w:p>
    <w:p w:rsidR="00EC08E0" w:rsidRPr="00CA22A2" w:rsidRDefault="00EC08E0" w:rsidP="00CA22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lastRenderedPageBreak/>
        <w:tab/>
        <w:t>201</w:t>
      </w:r>
      <w:r w:rsidR="00CA22A2"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</w:t>
      </w:r>
      <w:r w:rsidR="00CA22A2"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citologinio tepinėlio paėmimo paslauga </w:t>
      </w:r>
      <w:r w:rsidR="00CA22A2">
        <w:rPr>
          <w:rFonts w:ascii="Times New Roman" w:hAnsi="Times New Roman"/>
          <w:sz w:val="24"/>
        </w:rPr>
        <w:t>sumažėjo 1</w:t>
      </w:r>
      <w:r w:rsidRPr="00CA22A2">
        <w:rPr>
          <w:rFonts w:ascii="Times New Roman" w:hAnsi="Times New Roman"/>
          <w:sz w:val="24"/>
        </w:rPr>
        <w:t>6,</w:t>
      </w:r>
      <w:r w:rsidR="00CA22A2">
        <w:rPr>
          <w:rFonts w:ascii="Times New Roman" w:hAnsi="Times New Roman"/>
          <w:sz w:val="24"/>
        </w:rPr>
        <w:t>79</w:t>
      </w:r>
      <w:r w:rsidRPr="00CA22A2">
        <w:rPr>
          <w:rFonts w:ascii="Times New Roman" w:hAnsi="Times New Roman"/>
          <w:sz w:val="24"/>
        </w:rPr>
        <w:t xml:space="preserve"> proc. lyginant su 201</w:t>
      </w:r>
      <w:r w:rsidR="00CA22A2">
        <w:rPr>
          <w:rFonts w:ascii="Times New Roman" w:hAnsi="Times New Roman"/>
          <w:sz w:val="24"/>
        </w:rPr>
        <w:t>5</w:t>
      </w:r>
      <w:r w:rsidRPr="00CA22A2">
        <w:rPr>
          <w:rFonts w:ascii="Times New Roman" w:hAnsi="Times New Roman"/>
          <w:sz w:val="24"/>
        </w:rPr>
        <w:t xml:space="preserve"> m. (3 pav.).</w:t>
      </w:r>
    </w:p>
    <w:p w:rsidR="00EC08E0" w:rsidRPr="001D589B" w:rsidRDefault="00CA22A2" w:rsidP="00EC08E0">
      <w:pPr>
        <w:autoSpaceDE w:val="0"/>
        <w:autoSpaceDN w:val="0"/>
        <w:adjustRightInd w:val="0"/>
        <w:jc w:val="center"/>
      </w:pPr>
      <w:r w:rsidRPr="00CA22A2">
        <w:rPr>
          <w:noProof/>
          <w:lang w:eastAsia="lt-LT"/>
        </w:rPr>
        <w:drawing>
          <wp:inline distT="0" distB="0" distL="0" distR="0">
            <wp:extent cx="4572000" cy="2352675"/>
            <wp:effectExtent l="1905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08E0" w:rsidRPr="00CA22A2" w:rsidRDefault="00EC08E0" w:rsidP="00CC6E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</w:rPr>
      </w:pPr>
      <w:r w:rsidRPr="00CA22A2">
        <w:rPr>
          <w:rFonts w:ascii="Times New Roman" w:hAnsi="Times New Roman"/>
          <w:i/>
        </w:rPr>
        <w:t>3 pav.</w:t>
      </w:r>
      <w:r w:rsidRPr="00CA22A2">
        <w:rPr>
          <w:rFonts w:ascii="Times New Roman" w:hAnsi="Times New Roman"/>
          <w:b/>
          <w:i/>
        </w:rPr>
        <w:t xml:space="preserve"> Citologinio tepinėlio paėmimo paslaugos vykdymas Kauno apskrityje ir </w:t>
      </w:r>
      <w:r w:rsidR="00CA22A2" w:rsidRPr="00CA22A2">
        <w:rPr>
          <w:rFonts w:ascii="Times New Roman" w:hAnsi="Times New Roman"/>
          <w:b/>
          <w:i/>
        </w:rPr>
        <w:t>Raseinių</w:t>
      </w:r>
      <w:r w:rsidRPr="00CA22A2">
        <w:rPr>
          <w:rFonts w:ascii="Times New Roman" w:hAnsi="Times New Roman"/>
          <w:b/>
          <w:i/>
        </w:rPr>
        <w:t xml:space="preserve"> rajone </w:t>
      </w:r>
    </w:p>
    <w:p w:rsidR="00EC08E0" w:rsidRPr="00CA22A2" w:rsidRDefault="00EC08E0" w:rsidP="00CC6E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CA22A2">
        <w:rPr>
          <w:rFonts w:ascii="Times New Roman" w:hAnsi="Times New Roman"/>
          <w:b/>
          <w:i/>
        </w:rPr>
        <w:t>201</w:t>
      </w:r>
      <w:r w:rsidR="00CA22A2" w:rsidRPr="00CA22A2">
        <w:rPr>
          <w:rFonts w:ascii="Times New Roman" w:hAnsi="Times New Roman"/>
          <w:b/>
          <w:i/>
        </w:rPr>
        <w:t>3</w:t>
      </w:r>
      <w:r w:rsidRPr="00CA22A2">
        <w:rPr>
          <w:rFonts w:ascii="Times New Roman" w:hAnsi="Times New Roman"/>
          <w:b/>
          <w:i/>
        </w:rPr>
        <w:t>– 201</w:t>
      </w:r>
      <w:r w:rsidR="00CA22A2" w:rsidRPr="00CA22A2">
        <w:rPr>
          <w:rFonts w:ascii="Times New Roman" w:hAnsi="Times New Roman"/>
          <w:b/>
          <w:i/>
        </w:rPr>
        <w:t>6</w:t>
      </w:r>
      <w:r w:rsidRPr="00CA22A2">
        <w:rPr>
          <w:rFonts w:ascii="Times New Roman" w:hAnsi="Times New Roman"/>
          <w:b/>
          <w:i/>
        </w:rPr>
        <w:t xml:space="preserve"> m.</w:t>
      </w:r>
    </w:p>
    <w:p w:rsidR="00EC08E0" w:rsidRPr="00CA22A2" w:rsidRDefault="00EC08E0" w:rsidP="00EC08E0">
      <w:pPr>
        <w:ind w:firstLine="851"/>
        <w:jc w:val="both"/>
        <w:rPr>
          <w:rFonts w:ascii="Times New Roman" w:hAnsi="Times New Roman"/>
        </w:rPr>
      </w:pPr>
    </w:p>
    <w:p w:rsidR="00EC08E0" w:rsidRPr="00CA22A2" w:rsidRDefault="00EC08E0" w:rsidP="00CA22A2">
      <w:pPr>
        <w:spacing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A22A2">
        <w:rPr>
          <w:rFonts w:ascii="Times New Roman" w:hAnsi="Times New Roman"/>
          <w:b/>
          <w:szCs w:val="28"/>
        </w:rPr>
        <w:t>Išvada:</w:t>
      </w:r>
    </w:p>
    <w:p w:rsidR="00EC08E0" w:rsidRPr="008D2AD3" w:rsidRDefault="00CC6EB9" w:rsidP="00CA22A2">
      <w:pPr>
        <w:spacing w:line="360" w:lineRule="auto"/>
        <w:ind w:firstLine="851"/>
        <w:jc w:val="both"/>
        <w:rPr>
          <w:rFonts w:ascii="Times New Roman" w:hAnsi="Times New Roman"/>
          <w:b/>
          <w:sz w:val="18"/>
        </w:rPr>
      </w:pPr>
      <w:r w:rsidRPr="00CC6EB9">
        <w:rPr>
          <w:rFonts w:ascii="Times New Roman" w:hAnsi="Times New Roman"/>
          <w:b/>
          <w:sz w:val="24"/>
        </w:rPr>
        <w:t>2016 m. Raseinių rajono savivaldybėje informuotų moterų dėl gimdos kaklelio piktybinių navikų procentas sumažėjo lyginant su 2015 m</w:t>
      </w:r>
      <w:r w:rsidRPr="008D2AD3">
        <w:rPr>
          <w:rFonts w:ascii="Times New Roman" w:hAnsi="Times New Roman"/>
          <w:b/>
          <w:sz w:val="24"/>
        </w:rPr>
        <w:t xml:space="preserve">. </w:t>
      </w:r>
      <w:r w:rsidR="008D2AD3" w:rsidRPr="008D2AD3">
        <w:rPr>
          <w:rFonts w:ascii="Times New Roman" w:hAnsi="Times New Roman"/>
          <w:b/>
          <w:sz w:val="24"/>
        </w:rPr>
        <w:t>2016 m. Raseinių rajono savivaldybėje informuojamų moterų procentas dėl šios ligos buvo nežymiai mažesnis už Kauno apskrities rodiklį</w:t>
      </w:r>
      <w:r w:rsidR="008D2AD3">
        <w:rPr>
          <w:rFonts w:ascii="Times New Roman" w:hAnsi="Times New Roman"/>
          <w:b/>
          <w:sz w:val="24"/>
        </w:rPr>
        <w:t>.</w:t>
      </w:r>
    </w:p>
    <w:p w:rsidR="00EC08E0" w:rsidRPr="001D589B" w:rsidRDefault="00EC08E0" w:rsidP="00EC08E0"/>
    <w:p w:rsidR="00E50D10" w:rsidRDefault="00E50D10"/>
    <w:sectPr w:rsidR="00E50D10" w:rsidSect="00C0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92CCC"/>
    <w:rsid w:val="000F5D60"/>
    <w:rsid w:val="002A3ACC"/>
    <w:rsid w:val="0047297C"/>
    <w:rsid w:val="00687401"/>
    <w:rsid w:val="00792CCC"/>
    <w:rsid w:val="008979B6"/>
    <w:rsid w:val="008D2AD3"/>
    <w:rsid w:val="00CA22A2"/>
    <w:rsid w:val="00CC6EB9"/>
    <w:rsid w:val="00E50D10"/>
    <w:rsid w:val="00EC08E0"/>
    <w:rsid w:val="00FC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79B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artotojas\Desktop\Prevencin&#279;s%20programos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'gimdos kaklelio'!$C$5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'gimdos kaklelio'!$D$4:$P$4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'gimdos kaklelio'!$D$5:$P$5</c:f>
              <c:numCache>
                <c:formatCode>0.00</c:formatCode>
                <c:ptCount val="13"/>
                <c:pt idx="0">
                  <c:v>49.24</c:v>
                </c:pt>
                <c:pt idx="1">
                  <c:v>151.31</c:v>
                </c:pt>
                <c:pt idx="2">
                  <c:v>69</c:v>
                </c:pt>
                <c:pt idx="3">
                  <c:v>92.460000000000022</c:v>
                </c:pt>
                <c:pt idx="4">
                  <c:v>114.39</c:v>
                </c:pt>
                <c:pt idx="5">
                  <c:v>101.44000000000007</c:v>
                </c:pt>
                <c:pt idx="6">
                  <c:v>110.64999999999999</c:v>
                </c:pt>
                <c:pt idx="7">
                  <c:v>142.96</c:v>
                </c:pt>
                <c:pt idx="8">
                  <c:v>59.54</c:v>
                </c:pt>
                <c:pt idx="9">
                  <c:v>62.14</c:v>
                </c:pt>
                <c:pt idx="10">
                  <c:v>90.34</c:v>
                </c:pt>
                <c:pt idx="11">
                  <c:v>92.07</c:v>
                </c:pt>
                <c:pt idx="12">
                  <c:v>63.89</c:v>
                </c:pt>
              </c:numCache>
            </c:numRef>
          </c:val>
        </c:ser>
        <c:ser>
          <c:idx val="1"/>
          <c:order val="1"/>
          <c:tx>
            <c:strRef>
              <c:f>'gimdos kaklelio'!$C$6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'gimdos kaklelio'!$D$4:$P$4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'gimdos kaklelio'!$D$6:$P$6</c:f>
              <c:numCache>
                <c:formatCode>General</c:formatCode>
                <c:ptCount val="13"/>
                <c:pt idx="0">
                  <c:v>70.63</c:v>
                </c:pt>
                <c:pt idx="1">
                  <c:v>120.11</c:v>
                </c:pt>
                <c:pt idx="2">
                  <c:v>66.27</c:v>
                </c:pt>
                <c:pt idx="3">
                  <c:v>77.72</c:v>
                </c:pt>
                <c:pt idx="4">
                  <c:v>131.55000000000001</c:v>
                </c:pt>
                <c:pt idx="5">
                  <c:v>90.28</c:v>
                </c:pt>
                <c:pt idx="6">
                  <c:v>174.20999999999998</c:v>
                </c:pt>
                <c:pt idx="7">
                  <c:v>107.24000000000002</c:v>
                </c:pt>
                <c:pt idx="8">
                  <c:v>74.06</c:v>
                </c:pt>
                <c:pt idx="9">
                  <c:v>79.179999999999978</c:v>
                </c:pt>
                <c:pt idx="10">
                  <c:v>91.26</c:v>
                </c:pt>
                <c:pt idx="11">
                  <c:v>72.459999999999994</c:v>
                </c:pt>
                <c:pt idx="12">
                  <c:v>58.33</c:v>
                </c:pt>
              </c:numCache>
            </c:numRef>
          </c:val>
        </c:ser>
        <c:axId val="111605632"/>
        <c:axId val="111607168"/>
      </c:barChart>
      <c:catAx>
        <c:axId val="111605632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11607168"/>
        <c:crosses val="autoZero"/>
        <c:auto val="1"/>
        <c:lblAlgn val="ctr"/>
        <c:lblOffset val="100"/>
      </c:catAx>
      <c:valAx>
        <c:axId val="111607168"/>
        <c:scaling>
          <c:orientation val="minMax"/>
        </c:scaling>
        <c:axPos val="b"/>
        <c:majorGridlines/>
        <c:numFmt formatCode="0.00" sourceLinked="1"/>
        <c:tickLblPos val="nextTo"/>
        <c:crossAx val="111605632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view3D>
      <c:rAngAx val="1"/>
    </c:view3D>
    <c:plotArea>
      <c:layout>
        <c:manualLayout>
          <c:layoutTarget val="inner"/>
          <c:xMode val="edge"/>
          <c:yMode val="edge"/>
          <c:x val="9.4377296587926526E-2"/>
          <c:y val="5.1400554097404488E-2"/>
          <c:w val="0.62340748031496052"/>
          <c:h val="0.80290500145815213"/>
        </c:manualLayout>
      </c:layout>
      <c:bar3DChart>
        <c:barDir val="col"/>
        <c:grouping val="clustered"/>
        <c:ser>
          <c:idx val="0"/>
          <c:order val="0"/>
          <c:tx>
            <c:strRef>
              <c:f>'gimdos kaklelio'!$E$14</c:f>
              <c:strCache>
                <c:ptCount val="1"/>
                <c:pt idx="0">
                  <c:v>Raseinių r. sav.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'gimdos kaklelio'!$D$15:$D$18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'gimdos kaklelio'!$E$15:$E$18</c:f>
              <c:numCache>
                <c:formatCode>General</c:formatCode>
                <c:ptCount val="4"/>
                <c:pt idx="0">
                  <c:v>99.85</c:v>
                </c:pt>
                <c:pt idx="1">
                  <c:v>97.19</c:v>
                </c:pt>
                <c:pt idx="2" formatCode="0.00">
                  <c:v>142.96</c:v>
                </c:pt>
                <c:pt idx="3">
                  <c:v>107.24000000000002</c:v>
                </c:pt>
              </c:numCache>
            </c:numRef>
          </c:val>
        </c:ser>
        <c:ser>
          <c:idx val="1"/>
          <c:order val="1"/>
          <c:tx>
            <c:strRef>
              <c:f>'gimdos kaklelio'!$F$14</c:f>
              <c:strCache>
                <c:ptCount val="1"/>
                <c:pt idx="0">
                  <c:v>Kauno apskritis</c:v>
                </c:pt>
              </c:strCache>
            </c:strRef>
          </c:tx>
          <c:dLbls>
            <c:dLbl>
              <c:idx val="0"/>
              <c:layout>
                <c:manualLayout>
                  <c:x val="2.5000000000000046E-2"/>
                  <c:y val="-4.2437781360066993E-1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3.6111111111111163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'gimdos kaklelio'!$D$15:$D$18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'gimdos kaklelio'!$F$15:$F$18</c:f>
              <c:numCache>
                <c:formatCode>General</c:formatCode>
                <c:ptCount val="4"/>
                <c:pt idx="0">
                  <c:v>84.52</c:v>
                </c:pt>
                <c:pt idx="1">
                  <c:v>101.33</c:v>
                </c:pt>
                <c:pt idx="2">
                  <c:v>104.95</c:v>
                </c:pt>
                <c:pt idx="3">
                  <c:v>112.38</c:v>
                </c:pt>
              </c:numCache>
            </c:numRef>
          </c:val>
        </c:ser>
        <c:shape val="box"/>
        <c:axId val="109626112"/>
        <c:axId val="109627648"/>
        <c:axId val="0"/>
      </c:bar3DChart>
      <c:catAx>
        <c:axId val="109626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09627648"/>
        <c:crosses val="autoZero"/>
        <c:auto val="1"/>
        <c:lblAlgn val="ctr"/>
        <c:lblOffset val="100"/>
      </c:catAx>
      <c:valAx>
        <c:axId val="10962764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1.1268591426071761E-3"/>
              <c:y val="1.8445610965296004E-2"/>
            </c:manualLayout>
          </c:layout>
        </c:title>
        <c:numFmt formatCode="General" sourceLinked="1"/>
        <c:tickLblPos val="nextTo"/>
        <c:crossAx val="109626112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0599518810148795E-2"/>
          <c:y val="5.1400554097404488E-2"/>
          <c:w val="0.65971303587051677"/>
          <c:h val="0.8029050014581518"/>
        </c:manualLayout>
      </c:layout>
      <c:bar3DChart>
        <c:barDir val="col"/>
        <c:grouping val="clustered"/>
        <c:ser>
          <c:idx val="0"/>
          <c:order val="0"/>
          <c:tx>
            <c:strRef>
              <c:f>'gimdos kaklelio'!$J$28</c:f>
              <c:strCache>
                <c:ptCount val="1"/>
                <c:pt idx="0">
                  <c:v>Raseinių r. sav. 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'gimdos kaklelio'!$I$29:$I$32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'gimdos kaklelio'!$J$29:$J$32</c:f>
              <c:numCache>
                <c:formatCode>General</c:formatCode>
                <c:ptCount val="4"/>
                <c:pt idx="0">
                  <c:v>54.02</c:v>
                </c:pt>
                <c:pt idx="1">
                  <c:v>54.260000000000012</c:v>
                </c:pt>
                <c:pt idx="2" formatCode="0.00">
                  <c:v>62.92</c:v>
                </c:pt>
                <c:pt idx="3">
                  <c:v>46.13</c:v>
                </c:pt>
              </c:numCache>
            </c:numRef>
          </c:val>
        </c:ser>
        <c:ser>
          <c:idx val="1"/>
          <c:order val="1"/>
          <c:tx>
            <c:strRef>
              <c:f>'gimdos kaklelio'!$K$28</c:f>
              <c:strCache>
                <c:ptCount val="1"/>
                <c:pt idx="0">
                  <c:v>Kauno apskritis</c:v>
                </c:pt>
              </c:strCache>
            </c:strRef>
          </c:tx>
          <c:dLbls>
            <c:dLbl>
              <c:idx val="0"/>
              <c:layout>
                <c:manualLayout>
                  <c:x val="1.1111111111111124E-2"/>
                  <c:y val="-2.1592442645074247E-2"/>
                </c:manualLayout>
              </c:layout>
              <c:showVal val="1"/>
            </c:dLbl>
            <c:dLbl>
              <c:idx val="2"/>
              <c:layout>
                <c:manualLayout>
                  <c:x val="1.6666666666666684E-2"/>
                  <c:y val="-1.61943319838056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numRef>
              <c:f>'gimdos kaklelio'!$I$29:$I$32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'gimdos kaklelio'!$K$29:$K$32</c:f>
              <c:numCache>
                <c:formatCode>General</c:formatCode>
                <c:ptCount val="4"/>
                <c:pt idx="0">
                  <c:v>55.48</c:v>
                </c:pt>
                <c:pt idx="1">
                  <c:v>61.51</c:v>
                </c:pt>
                <c:pt idx="2">
                  <c:v>60.53</c:v>
                </c:pt>
                <c:pt idx="3">
                  <c:v>58.67</c:v>
                </c:pt>
              </c:numCache>
            </c:numRef>
          </c:val>
        </c:ser>
        <c:shape val="box"/>
        <c:axId val="109666304"/>
        <c:axId val="109667840"/>
        <c:axId val="0"/>
      </c:bar3DChart>
      <c:catAx>
        <c:axId val="109666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109667840"/>
        <c:crosses val="autoZero"/>
        <c:auto val="1"/>
        <c:lblAlgn val="ctr"/>
        <c:lblOffset val="100"/>
      </c:catAx>
      <c:valAx>
        <c:axId val="10966784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Proc.</a:t>
                </a:r>
              </a:p>
            </c:rich>
          </c:tx>
          <c:layout>
            <c:manualLayout>
              <c:xMode val="edge"/>
              <c:yMode val="edge"/>
              <c:x val="1.2342957130358715E-2"/>
              <c:y val="4.7754447360746655E-4"/>
            </c:manualLayout>
          </c:layout>
        </c:title>
        <c:numFmt formatCode="General" sourceLinked="1"/>
        <c:tickLblPos val="nextTo"/>
        <c:crossAx val="109666304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68A-3AFB-4C26-AD84-FFE8570A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Asus1</cp:lastModifiedBy>
  <cp:revision>2</cp:revision>
  <dcterms:created xsi:type="dcterms:W3CDTF">2017-03-01T09:38:00Z</dcterms:created>
  <dcterms:modified xsi:type="dcterms:W3CDTF">2017-03-01T09:38:00Z</dcterms:modified>
</cp:coreProperties>
</file>