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1A" w:rsidRPr="0073371A" w:rsidRDefault="0073371A" w:rsidP="0073371A">
      <w:pPr>
        <w:autoSpaceDE w:val="0"/>
        <w:autoSpaceDN w:val="0"/>
        <w:adjustRightInd w:val="0"/>
        <w:spacing w:after="0" w:line="360" w:lineRule="auto"/>
        <w:jc w:val="center"/>
        <w:rPr>
          <w:rFonts w:ascii="Arial Black" w:hAnsi="Arial Black" w:cs="Times New Roman"/>
          <w:b/>
          <w:sz w:val="36"/>
        </w:rPr>
      </w:pPr>
      <w:r w:rsidRPr="0073371A">
        <w:rPr>
          <w:rFonts w:ascii="Arial Black" w:hAnsi="Arial Black" w:cs="Times New Roman"/>
          <w:b/>
          <w:noProof/>
          <w:sz w:val="24"/>
          <w:lang w:eastAsia="lt-LT"/>
        </w:rPr>
        <w:drawing>
          <wp:anchor distT="0" distB="0" distL="114300" distR="114300" simplePos="0" relativeHeight="251661312" behindDoc="1" locked="0" layoutInCell="1" allowOverlap="1">
            <wp:simplePos x="0" y="0"/>
            <wp:positionH relativeFrom="column">
              <wp:posOffset>189745</wp:posOffset>
            </wp:positionH>
            <wp:positionV relativeFrom="paragraph">
              <wp:posOffset>-4098</wp:posOffset>
            </wp:positionV>
            <wp:extent cx="1775245" cy="1742536"/>
            <wp:effectExtent l="19050" t="0" r="0" b="0"/>
            <wp:wrapTight wrapText="bothSides">
              <wp:wrapPolygon edited="0">
                <wp:start x="-232" y="0"/>
                <wp:lineTo x="-232" y="21252"/>
                <wp:lineTo x="21556" y="21252"/>
                <wp:lineTo x="21556" y="0"/>
                <wp:lineTo x="-232" y="0"/>
              </wp:wrapPolygon>
            </wp:wrapTight>
            <wp:docPr id="2" name="Paveikslėlis 1" descr="Vaizdo rezultatas pagal užklausą „dantukai ir sepetelis su syp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dantukai ir sepetelis su sypsena“"/>
                    <pic:cNvPicPr>
                      <a:picLocks noChangeAspect="1" noChangeArrowheads="1"/>
                    </pic:cNvPicPr>
                  </pic:nvPicPr>
                  <pic:blipFill>
                    <a:blip r:embed="rId4"/>
                    <a:srcRect/>
                    <a:stretch>
                      <a:fillRect/>
                    </a:stretch>
                  </pic:blipFill>
                  <pic:spPr bwMode="auto">
                    <a:xfrm>
                      <a:off x="0" y="0"/>
                      <a:ext cx="1775245" cy="1742536"/>
                    </a:xfrm>
                    <a:prstGeom prst="rect">
                      <a:avLst/>
                    </a:prstGeom>
                    <a:noFill/>
                    <a:ln w="9525">
                      <a:noFill/>
                      <a:miter lim="800000"/>
                      <a:headEnd/>
                      <a:tailEnd/>
                    </a:ln>
                  </pic:spPr>
                </pic:pic>
              </a:graphicData>
            </a:graphic>
          </wp:anchor>
        </w:drawing>
      </w:r>
      <w:r w:rsidRPr="0073371A">
        <w:rPr>
          <w:rFonts w:ascii="Arial Black" w:hAnsi="Arial Black" w:cs="Times New Roman"/>
          <w:b/>
          <w:sz w:val="36"/>
        </w:rPr>
        <w:t>Raseinių rajono mokinių dantų ir žandikaulių būklė 2017 m.</w:t>
      </w:r>
    </w:p>
    <w:p w:rsidR="00A16388" w:rsidRDefault="00076BF9" w:rsidP="004338C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4338C9" w:rsidRPr="004338C9" w:rsidRDefault="004338C9" w:rsidP="004338C9">
      <w:pPr>
        <w:autoSpaceDE w:val="0"/>
        <w:autoSpaceDN w:val="0"/>
        <w:adjustRightInd w:val="0"/>
        <w:spacing w:after="0" w:line="360" w:lineRule="auto"/>
        <w:jc w:val="both"/>
        <w:rPr>
          <w:rFonts w:ascii="Times New Roman" w:hAnsi="Times New Roman" w:cs="Times New Roman"/>
          <w:color w:val="000000"/>
          <w:sz w:val="24"/>
          <w:szCs w:val="24"/>
        </w:rPr>
      </w:pPr>
      <w:r w:rsidRPr="00D44E41">
        <w:rPr>
          <w:rFonts w:ascii="Times New Roman" w:hAnsi="Times New Roman" w:cs="Times New Roman"/>
          <w:sz w:val="24"/>
        </w:rPr>
        <w:t>201</w:t>
      </w:r>
      <w:r>
        <w:rPr>
          <w:rFonts w:ascii="Times New Roman" w:hAnsi="Times New Roman" w:cs="Times New Roman"/>
          <w:sz w:val="24"/>
        </w:rPr>
        <w:t>7</w:t>
      </w:r>
      <w:r w:rsidRPr="00D44E41">
        <w:rPr>
          <w:rFonts w:ascii="Times New Roman" w:hAnsi="Times New Roman" w:cs="Times New Roman"/>
          <w:sz w:val="24"/>
        </w:rPr>
        <w:t>-201</w:t>
      </w:r>
      <w:r>
        <w:rPr>
          <w:rFonts w:ascii="Times New Roman" w:hAnsi="Times New Roman" w:cs="Times New Roman"/>
          <w:sz w:val="24"/>
        </w:rPr>
        <w:t>8</w:t>
      </w:r>
      <w:r w:rsidRPr="00D44E41">
        <w:rPr>
          <w:rFonts w:ascii="Times New Roman" w:hAnsi="Times New Roman" w:cs="Times New Roman"/>
          <w:sz w:val="24"/>
        </w:rPr>
        <w:t xml:space="preserve"> m. m. Raseinių rajono mokyklose mokėsi </w:t>
      </w:r>
      <w:r>
        <w:rPr>
          <w:rFonts w:ascii="Times New Roman" w:hAnsi="Times New Roman" w:cs="Times New Roman"/>
          <w:sz w:val="24"/>
        </w:rPr>
        <w:t>3815</w:t>
      </w:r>
      <w:r w:rsidRPr="00D44E41">
        <w:rPr>
          <w:rFonts w:ascii="Times New Roman" w:hAnsi="Times New Roman" w:cs="Times New Roman"/>
          <w:sz w:val="24"/>
        </w:rPr>
        <w:t xml:space="preserve"> mokiniai. </w:t>
      </w:r>
      <w:r>
        <w:rPr>
          <w:rFonts w:ascii="Times New Roman" w:hAnsi="Times New Roman" w:cs="Times New Roman"/>
          <w:sz w:val="24"/>
        </w:rPr>
        <w:t>Ataskaitas apie vaikų sveikatos būklę pateikė 14 Raseinių rajono mokyklų, kuriose vaiko sveikatos pažymėjimą (forma NR. 027-1/a) pateikė 3556 mokiniai (93.21 proc.).</w:t>
      </w:r>
    </w:p>
    <w:p w:rsidR="004338C9" w:rsidRDefault="004338C9" w:rsidP="004338C9">
      <w:pPr>
        <w:spacing w:after="0" w:line="360" w:lineRule="auto"/>
        <w:jc w:val="both"/>
        <w:rPr>
          <w:rFonts w:ascii="Times New Roman" w:hAnsi="Times New Roman" w:cs="Times New Roman"/>
          <w:sz w:val="24"/>
        </w:rPr>
      </w:pPr>
      <w:r>
        <w:rPr>
          <w:rFonts w:ascii="Times New Roman" w:hAnsi="Times New Roman" w:cs="Times New Roman"/>
          <w:sz w:val="24"/>
        </w:rPr>
        <w:tab/>
        <w:t>Remiantis duomenimis apie vaikų skaičių mokyklinio ugdymo įstaigose pagal klases, daugiausia mokinių yra I, II, III, VIII, IX, bei X klasėse, kiekvienoje iš jų mokinių skaičius viršija 330. Mažiausiai mokinių yra XI, XII klasėse (1 lentelė).</w:t>
      </w:r>
    </w:p>
    <w:p w:rsidR="004338C9" w:rsidRDefault="004338C9" w:rsidP="004338C9">
      <w:pPr>
        <w:spacing w:line="360" w:lineRule="auto"/>
        <w:jc w:val="both"/>
        <w:rPr>
          <w:rFonts w:ascii="Times New Roman" w:hAnsi="Times New Roman" w:cs="Times New Roman"/>
          <w:sz w:val="24"/>
        </w:rPr>
      </w:pPr>
      <w:r>
        <w:rPr>
          <w:rFonts w:ascii="Times New Roman" w:hAnsi="Times New Roman" w:cs="Times New Roman"/>
          <w:sz w:val="24"/>
        </w:rPr>
        <w:tab/>
        <w:t xml:space="preserve">Vaiko sveikatos pažymėjimą su užpildyta dantų būklės skiltimi daugiausia pateikė VII klasėje besimokantys mokiniai (96.88 proc.), mažiausiai – III-ų klasių mokiniai (82.01 proc.). </w:t>
      </w:r>
    </w:p>
    <w:p w:rsidR="004338C9" w:rsidRDefault="004338C9" w:rsidP="004338C9">
      <w:pPr>
        <w:tabs>
          <w:tab w:val="left" w:pos="9639"/>
        </w:tabs>
        <w:autoSpaceDE w:val="0"/>
        <w:autoSpaceDN w:val="0"/>
        <w:adjustRightInd w:val="0"/>
        <w:spacing w:after="0" w:line="240" w:lineRule="auto"/>
        <w:jc w:val="both"/>
        <w:rPr>
          <w:rFonts w:ascii="Times New Roman" w:hAnsi="Times New Roman" w:cs="Times New Roman"/>
          <w:b/>
          <w:iCs/>
        </w:rPr>
      </w:pPr>
      <w:r w:rsidRPr="0015423D">
        <w:rPr>
          <w:rFonts w:ascii="Times New Roman" w:hAnsi="Times New Roman" w:cs="Times New Roman"/>
          <w:bCs/>
          <w:iCs/>
        </w:rPr>
        <w:t>1 lentelė.</w:t>
      </w:r>
      <w:r w:rsidRPr="0015423D">
        <w:rPr>
          <w:rFonts w:ascii="Times New Roman" w:hAnsi="Times New Roman" w:cs="Times New Roman"/>
          <w:b/>
          <w:bCs/>
          <w:iCs/>
        </w:rPr>
        <w:t xml:space="preserve"> </w:t>
      </w:r>
      <w:r w:rsidRPr="0015423D">
        <w:rPr>
          <w:rFonts w:ascii="Times New Roman" w:hAnsi="Times New Roman" w:cs="Times New Roman"/>
          <w:b/>
          <w:iCs/>
        </w:rPr>
        <w:t>Vaik</w:t>
      </w:r>
      <w:r>
        <w:rPr>
          <w:rFonts w:ascii="Times New Roman" w:hAnsi="Times New Roman" w:cs="Times New Roman"/>
          <w:b/>
        </w:rPr>
        <w:t>ų</w:t>
      </w:r>
      <w:r w:rsidRPr="0015423D">
        <w:rPr>
          <w:rFonts w:ascii="Times New Roman" w:hAnsi="Times New Roman" w:cs="Times New Roman"/>
          <w:b/>
        </w:rPr>
        <w:t xml:space="preserve"> </w:t>
      </w:r>
      <w:r w:rsidRPr="0015423D">
        <w:rPr>
          <w:rFonts w:ascii="Times New Roman" w:hAnsi="Times New Roman" w:cs="Times New Roman"/>
          <w:b/>
          <w:iCs/>
        </w:rPr>
        <w:t>skai</w:t>
      </w:r>
      <w:r>
        <w:rPr>
          <w:rFonts w:ascii="Times New Roman" w:hAnsi="Times New Roman" w:cs="Times New Roman"/>
          <w:b/>
        </w:rPr>
        <w:t>č</w:t>
      </w:r>
      <w:r w:rsidRPr="0015423D">
        <w:rPr>
          <w:rFonts w:ascii="Times New Roman" w:hAnsi="Times New Roman" w:cs="Times New Roman"/>
          <w:b/>
          <w:iCs/>
        </w:rPr>
        <w:t>ius ir pateikt</w:t>
      </w:r>
      <w:r>
        <w:rPr>
          <w:rFonts w:ascii="Times New Roman" w:hAnsi="Times New Roman" w:cs="Times New Roman"/>
          <w:b/>
        </w:rPr>
        <w:t>ų</w:t>
      </w:r>
      <w:r w:rsidRPr="0015423D">
        <w:rPr>
          <w:rFonts w:ascii="Times New Roman" w:hAnsi="Times New Roman" w:cs="Times New Roman"/>
          <w:b/>
        </w:rPr>
        <w:t xml:space="preserve"> </w:t>
      </w:r>
      <w:r w:rsidRPr="0015423D">
        <w:rPr>
          <w:rFonts w:ascii="Times New Roman" w:hAnsi="Times New Roman" w:cs="Times New Roman"/>
          <w:b/>
          <w:iCs/>
        </w:rPr>
        <w:t>vaiko sveikatos pažym</w:t>
      </w:r>
      <w:r>
        <w:rPr>
          <w:rFonts w:ascii="Times New Roman" w:hAnsi="Times New Roman" w:cs="Times New Roman"/>
          <w:b/>
        </w:rPr>
        <w:t>ė</w:t>
      </w:r>
      <w:r w:rsidRPr="0015423D">
        <w:rPr>
          <w:rFonts w:ascii="Times New Roman" w:hAnsi="Times New Roman" w:cs="Times New Roman"/>
          <w:b/>
          <w:iCs/>
        </w:rPr>
        <w:t>jim</w:t>
      </w:r>
      <w:r>
        <w:rPr>
          <w:rFonts w:ascii="Times New Roman" w:hAnsi="Times New Roman" w:cs="Times New Roman"/>
          <w:b/>
        </w:rPr>
        <w:t>ų</w:t>
      </w:r>
      <w:r w:rsidRPr="0015423D">
        <w:rPr>
          <w:rFonts w:ascii="Times New Roman" w:hAnsi="Times New Roman" w:cs="Times New Roman"/>
          <w:b/>
        </w:rPr>
        <w:t xml:space="preserve"> </w:t>
      </w:r>
      <w:r w:rsidRPr="0015423D">
        <w:rPr>
          <w:rFonts w:ascii="Times New Roman" w:hAnsi="Times New Roman" w:cs="Times New Roman"/>
          <w:b/>
          <w:iCs/>
        </w:rPr>
        <w:t>(forma Nr. 027-1/a) skai</w:t>
      </w:r>
      <w:r>
        <w:rPr>
          <w:rFonts w:ascii="Times New Roman" w:hAnsi="Times New Roman" w:cs="Times New Roman"/>
          <w:b/>
        </w:rPr>
        <w:t>č</w:t>
      </w:r>
      <w:r w:rsidRPr="0015423D">
        <w:rPr>
          <w:rFonts w:ascii="Times New Roman" w:hAnsi="Times New Roman" w:cs="Times New Roman"/>
          <w:b/>
          <w:iCs/>
        </w:rPr>
        <w:t>ius</w:t>
      </w:r>
      <w:r>
        <w:rPr>
          <w:rFonts w:ascii="Times New Roman" w:hAnsi="Times New Roman" w:cs="Times New Roman"/>
          <w:b/>
          <w:iCs/>
        </w:rPr>
        <w:t xml:space="preserve"> </w:t>
      </w:r>
      <w:r w:rsidRPr="0015423D">
        <w:rPr>
          <w:rFonts w:ascii="Times New Roman" w:hAnsi="Times New Roman" w:cs="Times New Roman"/>
          <w:b/>
          <w:iCs/>
        </w:rPr>
        <w:t xml:space="preserve">mokyklinio ugdymo </w:t>
      </w:r>
      <w:r>
        <w:rPr>
          <w:rFonts w:ascii="Times New Roman" w:hAnsi="Times New Roman" w:cs="Times New Roman"/>
          <w:b/>
        </w:rPr>
        <w:t>į</w:t>
      </w:r>
      <w:r w:rsidRPr="0015423D">
        <w:rPr>
          <w:rFonts w:ascii="Times New Roman" w:hAnsi="Times New Roman" w:cs="Times New Roman"/>
          <w:b/>
          <w:iCs/>
        </w:rPr>
        <w:t>staigose pagal klases 201</w:t>
      </w:r>
      <w:r>
        <w:rPr>
          <w:rFonts w:ascii="Times New Roman" w:hAnsi="Times New Roman" w:cs="Times New Roman"/>
          <w:b/>
          <w:iCs/>
        </w:rPr>
        <w:t>7</w:t>
      </w:r>
      <w:r w:rsidRPr="0015423D">
        <w:rPr>
          <w:rFonts w:ascii="Times New Roman" w:hAnsi="Times New Roman" w:cs="Times New Roman"/>
          <w:b/>
          <w:iCs/>
        </w:rPr>
        <w:t>– 201</w:t>
      </w:r>
      <w:r>
        <w:rPr>
          <w:rFonts w:ascii="Times New Roman" w:hAnsi="Times New Roman" w:cs="Times New Roman"/>
          <w:b/>
          <w:iCs/>
        </w:rPr>
        <w:t>8</w:t>
      </w:r>
      <w:r w:rsidRPr="0015423D">
        <w:rPr>
          <w:rFonts w:ascii="Times New Roman" w:hAnsi="Times New Roman" w:cs="Times New Roman"/>
          <w:b/>
          <w:iCs/>
        </w:rPr>
        <w:t xml:space="preserve"> m. m.</w:t>
      </w:r>
    </w:p>
    <w:tbl>
      <w:tblPr>
        <w:tblStyle w:val="3vidutinistinklelis1parykinimas"/>
        <w:tblW w:w="0" w:type="auto"/>
        <w:tblLook w:val="04A0"/>
      </w:tblPr>
      <w:tblGrid>
        <w:gridCol w:w="2463"/>
        <w:gridCol w:w="2463"/>
        <w:gridCol w:w="2464"/>
        <w:gridCol w:w="2464"/>
      </w:tblGrid>
      <w:tr w:rsidR="004338C9" w:rsidTr="004338C9">
        <w:trPr>
          <w:cnfStyle w:val="100000000000"/>
        </w:trPr>
        <w:tc>
          <w:tcPr>
            <w:cnfStyle w:val="001000000000"/>
            <w:tcW w:w="2463" w:type="dxa"/>
          </w:tcPr>
          <w:p w:rsidR="004338C9" w:rsidRPr="0015423D" w:rsidRDefault="004338C9" w:rsidP="004338C9">
            <w:pPr>
              <w:jc w:val="center"/>
              <w:rPr>
                <w:rFonts w:ascii="Times New Roman" w:hAnsi="Times New Roman" w:cs="Times New Roman"/>
                <w:i/>
                <w:sz w:val="24"/>
                <w:szCs w:val="24"/>
              </w:rPr>
            </w:pPr>
            <w:r w:rsidRPr="0015423D">
              <w:rPr>
                <w:rFonts w:ascii="Times New Roman" w:hAnsi="Times New Roman" w:cs="Times New Roman"/>
                <w:i/>
                <w:sz w:val="24"/>
                <w:szCs w:val="24"/>
              </w:rPr>
              <w:t>Klasės</w:t>
            </w:r>
          </w:p>
        </w:tc>
        <w:tc>
          <w:tcPr>
            <w:tcW w:w="2463" w:type="dxa"/>
            <w:vAlign w:val="center"/>
          </w:tcPr>
          <w:p w:rsidR="004338C9" w:rsidRPr="0015423D" w:rsidRDefault="004338C9" w:rsidP="004338C9">
            <w:pPr>
              <w:jc w:val="center"/>
              <w:cnfStyle w:val="100000000000"/>
              <w:rPr>
                <w:rFonts w:ascii="Times New Roman" w:hAnsi="Times New Roman" w:cs="Times New Roman"/>
                <w:i/>
                <w:sz w:val="24"/>
                <w:szCs w:val="24"/>
              </w:rPr>
            </w:pPr>
            <w:r w:rsidRPr="0015423D">
              <w:rPr>
                <w:rFonts w:ascii="Times New Roman" w:hAnsi="Times New Roman" w:cs="Times New Roman"/>
                <w:i/>
                <w:color w:val="000000"/>
                <w:sz w:val="24"/>
                <w:szCs w:val="24"/>
              </w:rPr>
              <w:t>Vaikų skaičius mokyklinio ugdymo įstaigose</w:t>
            </w:r>
          </w:p>
        </w:tc>
        <w:tc>
          <w:tcPr>
            <w:tcW w:w="2464" w:type="dxa"/>
            <w:vAlign w:val="center"/>
          </w:tcPr>
          <w:p w:rsidR="004338C9" w:rsidRPr="0015423D" w:rsidRDefault="004338C9" w:rsidP="004338C9">
            <w:pPr>
              <w:jc w:val="center"/>
              <w:cnfStyle w:val="100000000000"/>
              <w:rPr>
                <w:rFonts w:ascii="Times New Roman" w:hAnsi="Times New Roman" w:cs="Times New Roman"/>
                <w:i/>
                <w:sz w:val="24"/>
                <w:szCs w:val="24"/>
              </w:rPr>
            </w:pPr>
          </w:p>
          <w:p w:rsidR="004338C9" w:rsidRPr="0015423D" w:rsidRDefault="004338C9" w:rsidP="004338C9">
            <w:pPr>
              <w:jc w:val="center"/>
              <w:cnfStyle w:val="100000000000"/>
              <w:rPr>
                <w:rFonts w:ascii="Times New Roman" w:hAnsi="Times New Roman" w:cs="Times New Roman"/>
                <w:i/>
                <w:sz w:val="24"/>
                <w:szCs w:val="24"/>
              </w:rPr>
            </w:pPr>
            <w:r w:rsidRPr="0015423D">
              <w:rPr>
                <w:rFonts w:ascii="Times New Roman" w:hAnsi="Times New Roman" w:cs="Times New Roman"/>
                <w:i/>
                <w:color w:val="000000"/>
                <w:sz w:val="24"/>
                <w:szCs w:val="24"/>
              </w:rPr>
              <w:t>Vaikų, pateikusių formą Nr. 027-1/a skaičius</w:t>
            </w:r>
          </w:p>
        </w:tc>
        <w:tc>
          <w:tcPr>
            <w:tcW w:w="2464" w:type="dxa"/>
            <w:vAlign w:val="center"/>
          </w:tcPr>
          <w:p w:rsidR="004338C9" w:rsidRPr="0015423D" w:rsidRDefault="004338C9" w:rsidP="004338C9">
            <w:pPr>
              <w:jc w:val="center"/>
              <w:cnfStyle w:val="100000000000"/>
              <w:rPr>
                <w:rFonts w:ascii="Times New Roman" w:hAnsi="Times New Roman" w:cs="Times New Roman"/>
                <w:i/>
                <w:sz w:val="24"/>
                <w:szCs w:val="24"/>
              </w:rPr>
            </w:pPr>
            <w:r w:rsidRPr="0015423D">
              <w:rPr>
                <w:rFonts w:ascii="Times New Roman" w:hAnsi="Times New Roman" w:cs="Times New Roman"/>
                <w:i/>
                <w:color w:val="000000"/>
                <w:sz w:val="24"/>
                <w:szCs w:val="24"/>
              </w:rPr>
              <w:t>Vaikų, pateikusių formą</w:t>
            </w:r>
          </w:p>
          <w:p w:rsidR="004338C9" w:rsidRPr="0015423D" w:rsidRDefault="004338C9" w:rsidP="004338C9">
            <w:pPr>
              <w:jc w:val="center"/>
              <w:cnfStyle w:val="100000000000"/>
              <w:rPr>
                <w:rFonts w:ascii="Times New Roman" w:hAnsi="Times New Roman" w:cs="Times New Roman"/>
                <w:i/>
                <w:sz w:val="24"/>
                <w:szCs w:val="24"/>
              </w:rPr>
            </w:pPr>
            <w:r w:rsidRPr="0015423D">
              <w:rPr>
                <w:rFonts w:ascii="Times New Roman" w:hAnsi="Times New Roman" w:cs="Times New Roman"/>
                <w:i/>
                <w:color w:val="000000"/>
                <w:sz w:val="24"/>
                <w:szCs w:val="24"/>
              </w:rPr>
              <w:t>027-1 dalis, proc.</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I</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333</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315</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94.59</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II</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358</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307</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85.75</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III</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339</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278</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82.01</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IV</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281</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266</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94.66</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V</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284</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270</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95.07</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VI</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316</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301</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95.25</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VII</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320</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310</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96.88</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VIII</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351</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333</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94.87</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IX</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347</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322</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92.80</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X</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359</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347</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96.66</w:t>
            </w:r>
          </w:p>
        </w:tc>
      </w:tr>
      <w:tr w:rsidR="004338C9" w:rsidTr="004338C9">
        <w:trPr>
          <w:cnfStyle w:val="000000100000"/>
        </w:trPr>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XI</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264</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254</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color w:val="000000"/>
                <w:sz w:val="24"/>
              </w:rPr>
              <w:t>96.21</w:t>
            </w:r>
          </w:p>
        </w:tc>
      </w:tr>
      <w:tr w:rsidR="004338C9" w:rsidTr="004338C9">
        <w:tc>
          <w:tcPr>
            <w:cnfStyle w:val="001000000000"/>
            <w:tcW w:w="2463" w:type="dxa"/>
          </w:tcPr>
          <w:p w:rsidR="004338C9" w:rsidRPr="001972C1" w:rsidRDefault="004338C9" w:rsidP="004338C9">
            <w:pPr>
              <w:jc w:val="center"/>
              <w:rPr>
                <w:rFonts w:ascii="Times New Roman" w:hAnsi="Times New Roman" w:cs="Times New Roman"/>
                <w:color w:val="000000"/>
                <w:sz w:val="24"/>
                <w:szCs w:val="20"/>
              </w:rPr>
            </w:pPr>
            <w:r w:rsidRPr="001972C1">
              <w:rPr>
                <w:rFonts w:ascii="Times New Roman" w:hAnsi="Times New Roman" w:cs="Times New Roman"/>
                <w:bCs w:val="0"/>
                <w:color w:val="000000"/>
                <w:sz w:val="24"/>
                <w:szCs w:val="20"/>
              </w:rPr>
              <w:t>XII</w:t>
            </w:r>
          </w:p>
        </w:tc>
        <w:tc>
          <w:tcPr>
            <w:tcW w:w="2463"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263</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253</w:t>
            </w:r>
          </w:p>
        </w:tc>
        <w:tc>
          <w:tcPr>
            <w:tcW w:w="2464" w:type="dxa"/>
          </w:tcPr>
          <w:p w:rsidR="004338C9" w:rsidRPr="00660E83" w:rsidRDefault="004338C9" w:rsidP="004338C9">
            <w:pPr>
              <w:jc w:val="center"/>
              <w:cnfStyle w:val="000000000000"/>
              <w:rPr>
                <w:rFonts w:ascii="Times New Roman" w:hAnsi="Times New Roman" w:cs="Times New Roman"/>
                <w:sz w:val="24"/>
              </w:rPr>
            </w:pPr>
            <w:r w:rsidRPr="00660E83">
              <w:rPr>
                <w:rFonts w:ascii="Times New Roman" w:hAnsi="Times New Roman" w:cs="Times New Roman"/>
                <w:color w:val="000000"/>
                <w:sz w:val="24"/>
              </w:rPr>
              <w:t>96.20</w:t>
            </w:r>
          </w:p>
        </w:tc>
      </w:tr>
      <w:tr w:rsidR="004338C9" w:rsidTr="004338C9">
        <w:trPr>
          <w:cnfStyle w:val="000000100000"/>
        </w:trPr>
        <w:tc>
          <w:tcPr>
            <w:cnfStyle w:val="001000000000"/>
            <w:tcW w:w="2463" w:type="dxa"/>
          </w:tcPr>
          <w:p w:rsidR="004338C9" w:rsidRPr="0015423D" w:rsidRDefault="004338C9" w:rsidP="004338C9">
            <w:pPr>
              <w:jc w:val="center"/>
              <w:rPr>
                <w:rFonts w:ascii="Times New Roman" w:hAnsi="Times New Roman" w:cs="Times New Roman"/>
                <w:b w:val="0"/>
                <w:i/>
                <w:color w:val="000000"/>
                <w:sz w:val="24"/>
                <w:szCs w:val="24"/>
              </w:rPr>
            </w:pPr>
            <w:r w:rsidRPr="0015423D">
              <w:rPr>
                <w:rFonts w:ascii="Times New Roman" w:hAnsi="Times New Roman" w:cs="Times New Roman"/>
                <w:b w:val="0"/>
                <w:i/>
                <w:color w:val="000000"/>
                <w:sz w:val="24"/>
                <w:szCs w:val="24"/>
              </w:rPr>
              <w:t>Iš viso</w:t>
            </w:r>
          </w:p>
        </w:tc>
        <w:tc>
          <w:tcPr>
            <w:tcW w:w="2463"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b/>
                <w:color w:val="000000"/>
                <w:sz w:val="24"/>
              </w:rPr>
              <w:t>3815</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b/>
                <w:color w:val="000000"/>
                <w:sz w:val="24"/>
              </w:rPr>
              <w:t>3556</w:t>
            </w:r>
          </w:p>
        </w:tc>
        <w:tc>
          <w:tcPr>
            <w:tcW w:w="2464" w:type="dxa"/>
          </w:tcPr>
          <w:p w:rsidR="004338C9" w:rsidRPr="00660E83" w:rsidRDefault="004338C9" w:rsidP="004338C9">
            <w:pPr>
              <w:jc w:val="center"/>
              <w:cnfStyle w:val="000000100000"/>
              <w:rPr>
                <w:rFonts w:ascii="Times New Roman" w:hAnsi="Times New Roman" w:cs="Times New Roman"/>
                <w:sz w:val="24"/>
              </w:rPr>
            </w:pPr>
            <w:r w:rsidRPr="00660E83">
              <w:rPr>
                <w:rFonts w:ascii="Times New Roman" w:hAnsi="Times New Roman" w:cs="Times New Roman"/>
                <w:b/>
                <w:color w:val="000000"/>
                <w:sz w:val="24"/>
              </w:rPr>
              <w:t>93.21</w:t>
            </w:r>
          </w:p>
        </w:tc>
      </w:tr>
    </w:tbl>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4338C9" w:rsidRDefault="004338C9" w:rsidP="00076BF9">
      <w:pPr>
        <w:autoSpaceDE w:val="0"/>
        <w:autoSpaceDN w:val="0"/>
        <w:adjustRightInd w:val="0"/>
        <w:spacing w:after="0" w:line="360" w:lineRule="auto"/>
        <w:jc w:val="both"/>
        <w:rPr>
          <w:rFonts w:ascii="Times New Roman" w:hAnsi="Times New Roman" w:cs="Times New Roman"/>
          <w:color w:val="000000"/>
          <w:sz w:val="24"/>
          <w:szCs w:val="24"/>
        </w:rPr>
      </w:pPr>
    </w:p>
    <w:p w:rsidR="00076BF9" w:rsidRDefault="004338C9" w:rsidP="00076B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6BF9" w:rsidRPr="00410F91">
        <w:rPr>
          <w:rFonts w:ascii="Times New Roman" w:hAnsi="Times New Roman" w:cs="Times New Roman"/>
          <w:color w:val="000000"/>
          <w:sz w:val="24"/>
          <w:szCs w:val="24"/>
        </w:rPr>
        <w:t xml:space="preserve">Vaiko profilaktinio sveikatos patikrinimo metu gydytojas </w:t>
      </w:r>
      <w:proofErr w:type="spellStart"/>
      <w:r w:rsidR="00076BF9" w:rsidRPr="00410F91">
        <w:rPr>
          <w:rFonts w:ascii="Times New Roman" w:hAnsi="Times New Roman" w:cs="Times New Roman"/>
          <w:color w:val="000000"/>
          <w:sz w:val="24"/>
          <w:szCs w:val="24"/>
        </w:rPr>
        <w:t>odontologas</w:t>
      </w:r>
      <w:proofErr w:type="spellEnd"/>
      <w:r w:rsidR="00076BF9" w:rsidRPr="00410F91">
        <w:rPr>
          <w:rFonts w:ascii="Times New Roman" w:hAnsi="Times New Roman" w:cs="Times New Roman"/>
          <w:color w:val="000000"/>
          <w:sz w:val="24"/>
          <w:szCs w:val="24"/>
        </w:rPr>
        <w:t xml:space="preserve"> įvertina vaiko dantų, žandikaulių būklę. Vaiko sveikatos pažymėjimo II dalyje specialistas nurodo dantų ėduonies intensyvumo rodiklį, t. y. kiek pažeistų ėduonies, plombuotų bei dėl ėduonies išrautų pieninių bei nuolatinių dantų turi vaikas. Informaci</w:t>
      </w:r>
      <w:r w:rsidR="00076BF9" w:rsidRPr="00410F91">
        <w:rPr>
          <w:rFonts w:ascii="Times New Roman" w:hAnsi="Times New Roman" w:cs="Times New Roman"/>
          <w:color w:val="000000"/>
          <w:sz w:val="24"/>
          <w:szCs w:val="24"/>
        </w:rPr>
        <w:softHyphen/>
        <w:t xml:space="preserve">ją apie pieninius dantis nurodoma prie raidžių k, p, i, informacija apie nuolatinius dantis – prie raidžių K, P,I. Kada KPI reikšmė yra mažesnė nei 1,2 - </w:t>
      </w:r>
      <w:r w:rsidR="00076BF9" w:rsidRPr="00410F91">
        <w:rPr>
          <w:rFonts w:ascii="Times New Roman" w:hAnsi="Times New Roman" w:cs="Times New Roman"/>
          <w:color w:val="000000"/>
          <w:sz w:val="24"/>
          <w:szCs w:val="24"/>
        </w:rPr>
        <w:lastRenderedPageBreak/>
        <w:t xml:space="preserve">ėduonies intensyvumas apibūdinamas kaip labai žemas; nuo 1,2 iki 2,6 – žemas, nuo 2,7 iki 4,4 - vidutinis; nuo 4,5 iki 6,5 - aukštas ir labai aukštas, kai rodiklis yra didesnis nei 6,5. </w:t>
      </w:r>
    </w:p>
    <w:p w:rsidR="00076BF9" w:rsidRDefault="00076BF9" w:rsidP="00076B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10F91">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410F91">
        <w:rPr>
          <w:rFonts w:ascii="Times New Roman" w:hAnsi="Times New Roman" w:cs="Times New Roman"/>
          <w:color w:val="000000"/>
          <w:sz w:val="24"/>
          <w:szCs w:val="24"/>
        </w:rPr>
        <w:t xml:space="preserve"> m. </w:t>
      </w:r>
      <w:r w:rsidR="008C1727">
        <w:rPr>
          <w:rFonts w:ascii="Times New Roman" w:hAnsi="Times New Roman" w:cs="Times New Roman"/>
          <w:color w:val="000000"/>
          <w:sz w:val="24"/>
          <w:szCs w:val="24"/>
        </w:rPr>
        <w:t>mokiniai</w:t>
      </w:r>
      <w:r w:rsidRPr="00410F91">
        <w:rPr>
          <w:rFonts w:ascii="Times New Roman" w:hAnsi="Times New Roman" w:cs="Times New Roman"/>
          <w:color w:val="000000"/>
          <w:sz w:val="24"/>
          <w:szCs w:val="24"/>
        </w:rPr>
        <w:t>, turintys labai žemą KPI indeksą sudarė 2</w:t>
      </w:r>
      <w:r>
        <w:rPr>
          <w:rFonts w:ascii="Times New Roman" w:hAnsi="Times New Roman" w:cs="Times New Roman"/>
          <w:color w:val="000000"/>
          <w:sz w:val="24"/>
          <w:szCs w:val="24"/>
        </w:rPr>
        <w:t>2,96</w:t>
      </w:r>
      <w:r w:rsidRPr="00410F91">
        <w:rPr>
          <w:rFonts w:ascii="Times New Roman" w:hAnsi="Times New Roman" w:cs="Times New Roman"/>
          <w:color w:val="000000"/>
          <w:sz w:val="24"/>
          <w:szCs w:val="24"/>
        </w:rPr>
        <w:t xml:space="preserve"> proc., žemas KPI indeksas nustatytas </w:t>
      </w:r>
      <w:r>
        <w:rPr>
          <w:rFonts w:ascii="Times New Roman" w:hAnsi="Times New Roman" w:cs="Times New Roman"/>
          <w:color w:val="000000"/>
          <w:sz w:val="24"/>
          <w:szCs w:val="24"/>
        </w:rPr>
        <w:t>10,51</w:t>
      </w:r>
      <w:r w:rsidRPr="00410F91">
        <w:rPr>
          <w:rFonts w:ascii="Times New Roman" w:hAnsi="Times New Roman" w:cs="Times New Roman"/>
          <w:color w:val="000000"/>
          <w:sz w:val="24"/>
          <w:szCs w:val="24"/>
        </w:rPr>
        <w:t xml:space="preserve"> proc. </w:t>
      </w:r>
      <w:r w:rsidR="008C1727">
        <w:rPr>
          <w:rFonts w:ascii="Times New Roman" w:hAnsi="Times New Roman" w:cs="Times New Roman"/>
          <w:color w:val="000000"/>
          <w:sz w:val="24"/>
          <w:szCs w:val="24"/>
        </w:rPr>
        <w:t>Mokiniai</w:t>
      </w:r>
      <w:r w:rsidRPr="00410F91">
        <w:rPr>
          <w:rFonts w:ascii="Times New Roman" w:hAnsi="Times New Roman" w:cs="Times New Roman"/>
          <w:color w:val="000000"/>
          <w:sz w:val="24"/>
          <w:szCs w:val="24"/>
        </w:rPr>
        <w:t>, kurių nuolatinių dantų ėduonies intensyvumo rodiklis buvo vidutinis, 201</w:t>
      </w:r>
      <w:r>
        <w:rPr>
          <w:rFonts w:ascii="Times New Roman" w:hAnsi="Times New Roman" w:cs="Times New Roman"/>
          <w:color w:val="000000"/>
          <w:sz w:val="24"/>
          <w:szCs w:val="24"/>
        </w:rPr>
        <w:t>7</w:t>
      </w:r>
      <w:r w:rsidRPr="00410F91">
        <w:rPr>
          <w:rFonts w:ascii="Times New Roman" w:hAnsi="Times New Roman" w:cs="Times New Roman"/>
          <w:color w:val="000000"/>
          <w:sz w:val="24"/>
          <w:szCs w:val="24"/>
        </w:rPr>
        <w:t xml:space="preserve"> m. sudarė </w:t>
      </w:r>
      <w:r>
        <w:rPr>
          <w:rFonts w:ascii="Times New Roman" w:hAnsi="Times New Roman" w:cs="Times New Roman"/>
          <w:color w:val="000000"/>
          <w:sz w:val="24"/>
          <w:szCs w:val="24"/>
        </w:rPr>
        <w:t>23,28</w:t>
      </w:r>
      <w:r w:rsidRPr="00410F91">
        <w:rPr>
          <w:rFonts w:ascii="Times New Roman" w:hAnsi="Times New Roman" w:cs="Times New Roman"/>
          <w:color w:val="000000"/>
          <w:sz w:val="24"/>
          <w:szCs w:val="24"/>
        </w:rPr>
        <w:t xml:space="preserve"> proc., aukštą turėjo 1</w:t>
      </w:r>
      <w:r>
        <w:rPr>
          <w:rFonts w:ascii="Times New Roman" w:hAnsi="Times New Roman" w:cs="Times New Roman"/>
          <w:color w:val="000000"/>
          <w:sz w:val="24"/>
          <w:szCs w:val="24"/>
        </w:rPr>
        <w:t>5</w:t>
      </w:r>
      <w:r w:rsidRPr="00410F91">
        <w:rPr>
          <w:rFonts w:ascii="Times New Roman" w:hAnsi="Times New Roman" w:cs="Times New Roman"/>
          <w:color w:val="000000"/>
          <w:sz w:val="24"/>
          <w:szCs w:val="24"/>
        </w:rPr>
        <w:t>,</w:t>
      </w:r>
      <w:r>
        <w:rPr>
          <w:rFonts w:ascii="Times New Roman" w:hAnsi="Times New Roman" w:cs="Times New Roman"/>
          <w:color w:val="000000"/>
          <w:sz w:val="24"/>
          <w:szCs w:val="24"/>
        </w:rPr>
        <w:t xml:space="preserve">06 </w:t>
      </w:r>
      <w:r w:rsidRPr="00410F91">
        <w:rPr>
          <w:rFonts w:ascii="Times New Roman" w:hAnsi="Times New Roman" w:cs="Times New Roman"/>
          <w:color w:val="000000"/>
          <w:sz w:val="24"/>
          <w:szCs w:val="24"/>
        </w:rPr>
        <w:t>proc. ir labai aukštą 2</w:t>
      </w:r>
      <w:r>
        <w:rPr>
          <w:rFonts w:ascii="Times New Roman" w:hAnsi="Times New Roman" w:cs="Times New Roman"/>
          <w:color w:val="000000"/>
          <w:sz w:val="24"/>
          <w:szCs w:val="24"/>
        </w:rPr>
        <w:t>4</w:t>
      </w:r>
      <w:r w:rsidRPr="00410F91">
        <w:rPr>
          <w:rFonts w:ascii="Times New Roman" w:hAnsi="Times New Roman" w:cs="Times New Roman"/>
          <w:color w:val="000000"/>
          <w:sz w:val="24"/>
          <w:szCs w:val="24"/>
        </w:rPr>
        <w:t>,</w:t>
      </w:r>
      <w:r>
        <w:rPr>
          <w:rFonts w:ascii="Times New Roman" w:hAnsi="Times New Roman" w:cs="Times New Roman"/>
          <w:color w:val="000000"/>
          <w:sz w:val="24"/>
          <w:szCs w:val="24"/>
        </w:rPr>
        <w:t>68</w:t>
      </w:r>
      <w:r w:rsidRPr="00410F91">
        <w:rPr>
          <w:rFonts w:ascii="Times New Roman" w:hAnsi="Times New Roman" w:cs="Times New Roman"/>
          <w:color w:val="000000"/>
          <w:sz w:val="24"/>
          <w:szCs w:val="24"/>
        </w:rPr>
        <w:t xml:space="preserve"> proc. vaikų (</w:t>
      </w:r>
      <w:r w:rsidR="00081109">
        <w:rPr>
          <w:rFonts w:ascii="Times New Roman" w:hAnsi="Times New Roman" w:cs="Times New Roman"/>
          <w:color w:val="000000"/>
          <w:sz w:val="24"/>
          <w:szCs w:val="24"/>
        </w:rPr>
        <w:t>1</w:t>
      </w:r>
      <w:r w:rsidRPr="00410F91">
        <w:rPr>
          <w:rFonts w:ascii="Times New Roman" w:hAnsi="Times New Roman" w:cs="Times New Roman"/>
          <w:color w:val="000000"/>
          <w:sz w:val="24"/>
          <w:szCs w:val="24"/>
        </w:rPr>
        <w:t xml:space="preserve"> pav.). </w:t>
      </w:r>
    </w:p>
    <w:p w:rsidR="00076BF9" w:rsidRDefault="00076BF9" w:rsidP="00076BF9">
      <w:pPr>
        <w:autoSpaceDE w:val="0"/>
        <w:autoSpaceDN w:val="0"/>
        <w:adjustRightInd w:val="0"/>
        <w:spacing w:after="0" w:line="360" w:lineRule="auto"/>
        <w:jc w:val="both"/>
        <w:rPr>
          <w:rFonts w:ascii="Times New Roman" w:hAnsi="Times New Roman" w:cs="Times New Roman"/>
          <w:color w:val="000000"/>
          <w:sz w:val="24"/>
          <w:szCs w:val="24"/>
        </w:rPr>
      </w:pPr>
      <w:r w:rsidRPr="00495337">
        <w:rPr>
          <w:rFonts w:ascii="Times New Roman" w:hAnsi="Times New Roman" w:cs="Times New Roman"/>
          <w:noProof/>
          <w:color w:val="000000"/>
          <w:sz w:val="24"/>
          <w:szCs w:val="24"/>
          <w:lang w:eastAsia="lt-LT"/>
        </w:rPr>
        <w:drawing>
          <wp:inline distT="0" distB="0" distL="0" distR="0">
            <wp:extent cx="6053946" cy="439871"/>
            <wp:effectExtent l="19050" t="0" r="3954" b="0"/>
            <wp:docPr id="1"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5" cstate="print"/>
                    <a:stretch>
                      <a:fillRect/>
                    </a:stretch>
                  </pic:blipFill>
                  <pic:spPr>
                    <a:xfrm>
                      <a:off x="0" y="0"/>
                      <a:ext cx="6053946" cy="439871"/>
                    </a:xfrm>
                    <a:prstGeom prst="rect">
                      <a:avLst/>
                    </a:prstGeom>
                  </pic:spPr>
                </pic:pic>
              </a:graphicData>
            </a:graphic>
          </wp:inline>
        </w:drawing>
      </w:r>
    </w:p>
    <w:p w:rsidR="00081109" w:rsidRDefault="00081109" w:rsidP="00081109">
      <w:pPr>
        <w:spacing w:after="0" w:line="240" w:lineRule="auto"/>
        <w:jc w:val="center"/>
        <w:rPr>
          <w:rFonts w:ascii="Times New Roman" w:hAnsi="Times New Roman" w:cs="Times New Roman"/>
          <w:b/>
          <w:color w:val="000000"/>
          <w:szCs w:val="23"/>
        </w:rPr>
      </w:pPr>
      <w:r>
        <w:rPr>
          <w:rFonts w:ascii="Times New Roman" w:hAnsi="Times New Roman" w:cs="Times New Roman"/>
          <w:color w:val="000000"/>
          <w:szCs w:val="23"/>
        </w:rPr>
        <w:t xml:space="preserve">1 </w:t>
      </w:r>
      <w:r w:rsidRPr="006A1601">
        <w:rPr>
          <w:rFonts w:ascii="Times New Roman" w:hAnsi="Times New Roman" w:cs="Times New Roman"/>
          <w:color w:val="000000"/>
          <w:szCs w:val="23"/>
        </w:rPr>
        <w:t xml:space="preserve">pav. </w:t>
      </w:r>
      <w:r w:rsidR="008C1727" w:rsidRPr="00A16388">
        <w:rPr>
          <w:rFonts w:ascii="Times New Roman" w:hAnsi="Times New Roman" w:cs="Times New Roman"/>
          <w:b/>
        </w:rPr>
        <w:t>Raseinių rajono mokinių</w:t>
      </w:r>
      <w:r>
        <w:rPr>
          <w:rFonts w:ascii="Times New Roman" w:hAnsi="Times New Roman" w:cs="Times New Roman"/>
          <w:b/>
          <w:color w:val="000000"/>
          <w:szCs w:val="23"/>
        </w:rPr>
        <w:t xml:space="preserve"> pasiskirstymas pagal nuolatinių dantų ėduonies intensyvumą (KPI indeksas) 2017 m. </w:t>
      </w:r>
    </w:p>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7B25E1" w:rsidRDefault="007B25E1" w:rsidP="007B25E1">
      <w:pPr>
        <w:spacing w:after="0" w:line="240" w:lineRule="auto"/>
        <w:rPr>
          <w:rFonts w:ascii="Times New Roman" w:hAnsi="Times New Roman" w:cs="Times New Roman"/>
          <w:sz w:val="20"/>
        </w:rPr>
      </w:pPr>
    </w:p>
    <w:p w:rsidR="007B25E1" w:rsidRPr="005A5D81" w:rsidRDefault="007B25E1" w:rsidP="007B25E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rPr>
        <w:tab/>
      </w:r>
      <w:r w:rsidRPr="005A5D81">
        <w:rPr>
          <w:rFonts w:ascii="Times New Roman" w:hAnsi="Times New Roman" w:cs="Times New Roman"/>
          <w:sz w:val="24"/>
        </w:rPr>
        <w:t>Duomenys rodo, kad 201</w:t>
      </w:r>
      <w:r>
        <w:rPr>
          <w:rFonts w:ascii="Times New Roman" w:hAnsi="Times New Roman" w:cs="Times New Roman"/>
          <w:sz w:val="24"/>
        </w:rPr>
        <w:t>6</w:t>
      </w:r>
      <w:r w:rsidRPr="005A5D81">
        <w:rPr>
          <w:rFonts w:ascii="Times New Roman" w:hAnsi="Times New Roman" w:cs="Times New Roman"/>
          <w:sz w:val="24"/>
        </w:rPr>
        <w:t xml:space="preserve"> m. Lietuvos mokinių KPI yra vidutinis – </w:t>
      </w:r>
      <w:r>
        <w:rPr>
          <w:rFonts w:ascii="Times New Roman" w:hAnsi="Times New Roman" w:cs="Times New Roman"/>
          <w:sz w:val="24"/>
        </w:rPr>
        <w:t>4,2</w:t>
      </w:r>
      <w:r w:rsidRPr="005A5D81">
        <w:rPr>
          <w:rFonts w:ascii="Times New Roman" w:hAnsi="Times New Roman" w:cs="Times New Roman"/>
          <w:sz w:val="24"/>
        </w:rPr>
        <w:t>. Ra</w:t>
      </w:r>
      <w:r>
        <w:rPr>
          <w:rFonts w:ascii="Times New Roman" w:hAnsi="Times New Roman" w:cs="Times New Roman"/>
          <w:sz w:val="24"/>
        </w:rPr>
        <w:t>seinių</w:t>
      </w:r>
      <w:r w:rsidRPr="005A5D81">
        <w:rPr>
          <w:rFonts w:ascii="Times New Roman" w:hAnsi="Times New Roman" w:cs="Times New Roman"/>
          <w:sz w:val="24"/>
        </w:rPr>
        <w:t xml:space="preserve"> rajono mokinių KPI siekė – </w:t>
      </w:r>
      <w:r>
        <w:rPr>
          <w:rFonts w:ascii="Times New Roman" w:hAnsi="Times New Roman" w:cs="Times New Roman"/>
          <w:sz w:val="24"/>
        </w:rPr>
        <w:t>4,6</w:t>
      </w:r>
      <w:r w:rsidRPr="005A5D81">
        <w:rPr>
          <w:rFonts w:ascii="Times New Roman" w:hAnsi="Times New Roman" w:cs="Times New Roman"/>
          <w:sz w:val="24"/>
        </w:rPr>
        <w:t xml:space="preserve"> (</w:t>
      </w:r>
      <w:r>
        <w:rPr>
          <w:rFonts w:ascii="Times New Roman" w:hAnsi="Times New Roman" w:cs="Times New Roman"/>
          <w:sz w:val="24"/>
        </w:rPr>
        <w:t>aukštas</w:t>
      </w:r>
      <w:r w:rsidRPr="005A5D81">
        <w:rPr>
          <w:rFonts w:ascii="Times New Roman" w:hAnsi="Times New Roman" w:cs="Times New Roman"/>
          <w:sz w:val="24"/>
        </w:rPr>
        <w:t>)</w:t>
      </w:r>
      <w:r w:rsidR="00A16388">
        <w:rPr>
          <w:rFonts w:ascii="Times New Roman" w:hAnsi="Times New Roman" w:cs="Times New Roman"/>
          <w:sz w:val="24"/>
        </w:rPr>
        <w:t>(2017 m. – 4,8)</w:t>
      </w:r>
      <w:r w:rsidRPr="005A5D81">
        <w:rPr>
          <w:rFonts w:ascii="Times New Roman" w:hAnsi="Times New Roman" w:cs="Times New Roman"/>
          <w:sz w:val="24"/>
        </w:rPr>
        <w:t xml:space="preserve">, santykis su Lietuvos vidurkiu </w:t>
      </w:r>
      <w:r>
        <w:rPr>
          <w:rFonts w:ascii="Times New Roman" w:hAnsi="Times New Roman" w:cs="Times New Roman"/>
          <w:sz w:val="24"/>
        </w:rPr>
        <w:t>–</w:t>
      </w:r>
      <w:r w:rsidRPr="005A5D81">
        <w:rPr>
          <w:rFonts w:ascii="Times New Roman" w:hAnsi="Times New Roman" w:cs="Times New Roman"/>
          <w:sz w:val="24"/>
        </w:rPr>
        <w:t xml:space="preserve"> </w:t>
      </w:r>
      <w:r>
        <w:rPr>
          <w:rFonts w:ascii="Times New Roman" w:hAnsi="Times New Roman" w:cs="Times New Roman"/>
          <w:sz w:val="24"/>
        </w:rPr>
        <w:t>1,10 (2</w:t>
      </w:r>
      <w:r w:rsidRPr="005A5D81">
        <w:rPr>
          <w:rFonts w:ascii="Times New Roman" w:hAnsi="Times New Roman" w:cs="Times New Roman"/>
          <w:sz w:val="24"/>
        </w:rPr>
        <w:t xml:space="preserve"> pav.)</w:t>
      </w:r>
      <w:r>
        <w:rPr>
          <w:rFonts w:ascii="Times New Roman" w:hAnsi="Times New Roman" w:cs="Times New Roman"/>
          <w:sz w:val="24"/>
        </w:rPr>
        <w:t>.</w:t>
      </w:r>
    </w:p>
    <w:p w:rsidR="007B25E1" w:rsidRDefault="007B25E1" w:rsidP="007B25E1">
      <w:pPr>
        <w:autoSpaceDE w:val="0"/>
        <w:autoSpaceDN w:val="0"/>
        <w:adjustRightInd w:val="0"/>
        <w:spacing w:after="0" w:line="360" w:lineRule="auto"/>
        <w:jc w:val="both"/>
        <w:rPr>
          <w:rFonts w:ascii="Times New Roman" w:hAnsi="Times New Roman" w:cs="Times New Roman"/>
          <w:color w:val="000000"/>
          <w:szCs w:val="24"/>
        </w:rPr>
      </w:pPr>
      <w:r w:rsidRPr="005A5D81">
        <w:rPr>
          <w:rFonts w:ascii="Times New Roman" w:hAnsi="Times New Roman" w:cs="Times New Roman"/>
          <w:color w:val="000000"/>
          <w:szCs w:val="24"/>
        </w:rPr>
        <w:drawing>
          <wp:inline distT="0" distB="0" distL="0" distR="0">
            <wp:extent cx="6193766" cy="1975449"/>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25E1" w:rsidRPr="005A5D81" w:rsidRDefault="007B25E1" w:rsidP="007B25E1">
      <w:pPr>
        <w:spacing w:after="0" w:line="240" w:lineRule="auto"/>
        <w:jc w:val="center"/>
        <w:rPr>
          <w:rFonts w:ascii="Times New Roman" w:hAnsi="Times New Roman" w:cs="Times New Roman"/>
          <w:b/>
        </w:rPr>
      </w:pPr>
      <w:r w:rsidRPr="007B25E1">
        <w:rPr>
          <w:rFonts w:ascii="Times New Roman" w:hAnsi="Times New Roman" w:cs="Times New Roman"/>
        </w:rPr>
        <w:t>2 pav.</w:t>
      </w:r>
      <w:r w:rsidRPr="005A5D81">
        <w:rPr>
          <w:rFonts w:ascii="Times New Roman" w:hAnsi="Times New Roman" w:cs="Times New Roman"/>
          <w:b/>
        </w:rPr>
        <w:t xml:space="preserve"> Mokinių dantų ėduonies intensyvumo indekso rodiklio santyk</w:t>
      </w:r>
      <w:r w:rsidR="00A16388">
        <w:rPr>
          <w:rFonts w:ascii="Times New Roman" w:hAnsi="Times New Roman" w:cs="Times New Roman"/>
          <w:b/>
        </w:rPr>
        <w:t xml:space="preserve">is su Lietuva ir pasiskirstymas </w:t>
      </w:r>
      <w:r w:rsidRPr="005A5D81">
        <w:rPr>
          <w:rFonts w:ascii="Times New Roman" w:hAnsi="Times New Roman" w:cs="Times New Roman"/>
          <w:b/>
        </w:rPr>
        <w:t>tarp savivaldybių, 2016 m.</w:t>
      </w:r>
    </w:p>
    <w:p w:rsidR="00A16388" w:rsidRDefault="007B25E1" w:rsidP="00A16388">
      <w:pPr>
        <w:spacing w:line="240" w:lineRule="auto"/>
        <w:rPr>
          <w:rFonts w:ascii="Times New Roman" w:hAnsi="Times New Roman" w:cs="Times New Roman"/>
          <w:sz w:val="20"/>
        </w:rPr>
      </w:pPr>
      <w:r w:rsidRPr="005A5D81">
        <w:rPr>
          <w:rFonts w:ascii="Times New Roman" w:hAnsi="Times New Roman" w:cs="Times New Roman"/>
          <w:sz w:val="20"/>
        </w:rPr>
        <w:t>Šaltinis: Higienos instituto Sveikatos informacijos centras</w:t>
      </w:r>
    </w:p>
    <w:p w:rsidR="00B04768" w:rsidRDefault="00B04768" w:rsidP="00B04768">
      <w:pPr>
        <w:spacing w:after="0" w:line="240" w:lineRule="auto"/>
        <w:rPr>
          <w:rFonts w:ascii="Times New Roman" w:hAnsi="Times New Roman" w:cs="Times New Roman"/>
          <w:sz w:val="20"/>
        </w:rPr>
      </w:pPr>
    </w:p>
    <w:p w:rsidR="00A16388" w:rsidRPr="00A16388" w:rsidRDefault="00A16388" w:rsidP="00F2317A">
      <w:pPr>
        <w:spacing w:after="0" w:line="360" w:lineRule="auto"/>
        <w:jc w:val="both"/>
        <w:rPr>
          <w:rFonts w:ascii="Times New Roman" w:hAnsi="Times New Roman" w:cs="Times New Roman"/>
        </w:rPr>
      </w:pPr>
      <w:r>
        <w:rPr>
          <w:rFonts w:ascii="Times New Roman" w:hAnsi="Times New Roman" w:cs="Times New Roman"/>
        </w:rPr>
        <w:tab/>
      </w:r>
      <w:r w:rsidRPr="00A16388">
        <w:rPr>
          <w:rFonts w:ascii="Times New Roman" w:hAnsi="Times New Roman" w:cs="Times New Roman"/>
          <w:sz w:val="24"/>
        </w:rPr>
        <w:t>2016 m.  aukštas mokinių dantų ėduonies intensyvumo indeksas buvo 1-4 klasių mokinių (svyravo nuo 5,02 iki 6,02), 2017 m.  1-4 ir 11-12 klasių mokinių (svyravo nuo 5,06 iki 6,24) (</w:t>
      </w:r>
      <w:r w:rsidR="00F2317A">
        <w:rPr>
          <w:rFonts w:ascii="Times New Roman" w:hAnsi="Times New Roman" w:cs="Times New Roman"/>
          <w:sz w:val="24"/>
        </w:rPr>
        <w:t>3</w:t>
      </w:r>
      <w:r w:rsidRPr="00A16388">
        <w:rPr>
          <w:rFonts w:ascii="Times New Roman" w:hAnsi="Times New Roman" w:cs="Times New Roman"/>
          <w:sz w:val="24"/>
        </w:rPr>
        <w:t xml:space="preserve"> pav.).</w:t>
      </w:r>
    </w:p>
    <w:p w:rsidR="00A16388" w:rsidRDefault="00A16388" w:rsidP="00A16388">
      <w:pPr>
        <w:spacing w:after="0" w:line="240" w:lineRule="auto"/>
        <w:jc w:val="center"/>
        <w:rPr>
          <w:sz w:val="24"/>
        </w:rPr>
      </w:pPr>
      <w:r w:rsidRPr="00A16388">
        <w:rPr>
          <w:rFonts w:ascii="Times New Roman" w:hAnsi="Times New Roman" w:cs="Times New Roman"/>
          <w:sz w:val="20"/>
        </w:rPr>
        <w:drawing>
          <wp:inline distT="0" distB="0" distL="0" distR="0">
            <wp:extent cx="5011947" cy="1656271"/>
            <wp:effectExtent l="0" t="0" r="0" b="0"/>
            <wp:docPr id="7"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6388" w:rsidRPr="00A16388" w:rsidRDefault="00F2317A" w:rsidP="00A16388">
      <w:pPr>
        <w:spacing w:after="0"/>
        <w:jc w:val="center"/>
        <w:rPr>
          <w:rFonts w:ascii="Times New Roman" w:hAnsi="Times New Roman" w:cs="Times New Roman"/>
          <w:b/>
        </w:rPr>
      </w:pPr>
      <w:r>
        <w:rPr>
          <w:rFonts w:ascii="Times New Roman" w:hAnsi="Times New Roman" w:cs="Times New Roman"/>
        </w:rPr>
        <w:t>3</w:t>
      </w:r>
      <w:r w:rsidR="00A16388" w:rsidRPr="00A16388">
        <w:rPr>
          <w:rFonts w:ascii="Times New Roman" w:hAnsi="Times New Roman" w:cs="Times New Roman"/>
        </w:rPr>
        <w:t xml:space="preserve"> pav.</w:t>
      </w:r>
      <w:r w:rsidR="00A16388" w:rsidRPr="00A16388">
        <w:rPr>
          <w:rFonts w:ascii="Times New Roman" w:hAnsi="Times New Roman" w:cs="Times New Roman"/>
          <w:b/>
        </w:rPr>
        <w:t xml:space="preserve"> Raseinių rajono mokinių dantų ėduonies intensyvumo indeksas pagal klases</w:t>
      </w:r>
      <w:r w:rsidR="00A16388">
        <w:rPr>
          <w:rFonts w:ascii="Times New Roman" w:hAnsi="Times New Roman" w:cs="Times New Roman"/>
          <w:b/>
        </w:rPr>
        <w:t xml:space="preserve"> </w:t>
      </w:r>
      <w:r w:rsidR="00A16388" w:rsidRPr="00A16388">
        <w:rPr>
          <w:rFonts w:ascii="Times New Roman" w:hAnsi="Times New Roman" w:cs="Times New Roman"/>
          <w:b/>
        </w:rPr>
        <w:t>2016-2017 m.</w:t>
      </w:r>
    </w:p>
    <w:p w:rsidR="00A16388" w:rsidRPr="00A16388" w:rsidRDefault="00A16388" w:rsidP="00A16388">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sidR="00F12491">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081109" w:rsidRPr="00410F91" w:rsidRDefault="00D50514" w:rsidP="00076BF9">
      <w:pPr>
        <w:autoSpaceDE w:val="0"/>
        <w:autoSpaceDN w:val="0"/>
        <w:adjustRightInd w:val="0"/>
        <w:spacing w:after="0" w:line="360" w:lineRule="auto"/>
        <w:jc w:val="both"/>
        <w:rPr>
          <w:rFonts w:ascii="Times New Roman" w:hAnsi="Times New Roman" w:cs="Times New Roman"/>
          <w:color w:val="000000"/>
          <w:sz w:val="24"/>
          <w:szCs w:val="24"/>
        </w:rPr>
      </w:pPr>
      <w:r w:rsidRPr="00D50514">
        <w:rPr>
          <w:rFonts w:ascii="Times New Roman" w:hAnsi="Times New Roman" w:cs="Times New Roman"/>
          <w:b/>
          <w:noProof/>
          <w:color w:val="000000"/>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8pt;margin-top:5.3pt;width:482.9pt;height:45.4pt;z-index:251660288;mso-width-relative:margin;mso-height-relative:margin" fillcolor="white [3201]" strokecolor="#4f81bd [3204]" strokeweight="2.5pt">
            <v:shadow color="#868686"/>
            <v:textbox>
              <w:txbxContent>
                <w:p w:rsidR="00076BF9" w:rsidRPr="00137A6E" w:rsidRDefault="00076BF9" w:rsidP="00076BF9">
                  <w:pPr>
                    <w:autoSpaceDE w:val="0"/>
                    <w:autoSpaceDN w:val="0"/>
                    <w:adjustRightInd w:val="0"/>
                    <w:spacing w:after="0" w:line="360" w:lineRule="auto"/>
                    <w:jc w:val="both"/>
                    <w:rPr>
                      <w:rFonts w:ascii="Times New Roman" w:hAnsi="Times New Roman" w:cs="Times New Roman"/>
                      <w:b/>
                      <w:color w:val="000000"/>
                      <w:sz w:val="24"/>
                      <w:szCs w:val="24"/>
                    </w:rPr>
                  </w:pPr>
                  <w:r w:rsidRPr="00137A6E">
                    <w:rPr>
                      <w:rFonts w:ascii="Times New Roman" w:hAnsi="Times New Roman" w:cs="Times New Roman"/>
                      <w:b/>
                      <w:color w:val="000000"/>
                      <w:sz w:val="24"/>
                      <w:szCs w:val="24"/>
                    </w:rPr>
                    <w:t xml:space="preserve">2017 m. Raseinių rajone </w:t>
                  </w:r>
                  <w:r w:rsidR="00075127">
                    <w:rPr>
                      <w:rFonts w:ascii="Times New Roman" w:hAnsi="Times New Roman" w:cs="Times New Roman"/>
                      <w:b/>
                      <w:color w:val="000000"/>
                      <w:sz w:val="24"/>
                      <w:szCs w:val="24"/>
                    </w:rPr>
                    <w:t>mokiniai</w:t>
                  </w:r>
                  <w:r w:rsidRPr="00137A6E">
                    <w:rPr>
                      <w:rFonts w:ascii="Times New Roman" w:hAnsi="Times New Roman" w:cs="Times New Roman"/>
                      <w:b/>
                      <w:color w:val="000000"/>
                      <w:sz w:val="24"/>
                      <w:szCs w:val="24"/>
                    </w:rPr>
                    <w:t xml:space="preserve">, neturintys ėduonies pažeistų, plombuotų bei dėl ėduonies išrautų dantų sudarė </w:t>
                  </w:r>
                  <w:r w:rsidR="00B04768">
                    <w:rPr>
                      <w:rFonts w:ascii="Times New Roman" w:hAnsi="Times New Roman" w:cs="Times New Roman"/>
                      <w:b/>
                      <w:color w:val="000000"/>
                      <w:sz w:val="24"/>
                      <w:szCs w:val="24"/>
                    </w:rPr>
                    <w:t xml:space="preserve">tik </w:t>
                  </w:r>
                  <w:r w:rsidRPr="00137A6E">
                    <w:rPr>
                      <w:rFonts w:ascii="Times New Roman" w:hAnsi="Times New Roman" w:cs="Times New Roman"/>
                      <w:b/>
                      <w:color w:val="000000"/>
                      <w:sz w:val="24"/>
                      <w:szCs w:val="24"/>
                    </w:rPr>
                    <w:t xml:space="preserve">15,66 procento. </w:t>
                  </w:r>
                </w:p>
                <w:p w:rsidR="00076BF9" w:rsidRDefault="00076BF9" w:rsidP="00076BF9"/>
              </w:txbxContent>
            </v:textbox>
          </v:shape>
        </w:pict>
      </w:r>
    </w:p>
    <w:p w:rsidR="00076BF9" w:rsidRPr="00410F91" w:rsidRDefault="00076BF9" w:rsidP="00076BF9">
      <w:pPr>
        <w:autoSpaceDE w:val="0"/>
        <w:autoSpaceDN w:val="0"/>
        <w:adjustRightInd w:val="0"/>
        <w:spacing w:after="0" w:line="360" w:lineRule="auto"/>
        <w:jc w:val="center"/>
        <w:rPr>
          <w:rFonts w:ascii="Times New Roman" w:hAnsi="Times New Roman" w:cs="Times New Roman"/>
          <w:b/>
          <w:color w:val="000000"/>
          <w:szCs w:val="24"/>
        </w:rPr>
      </w:pPr>
      <w:r>
        <w:rPr>
          <w:rFonts w:ascii="Times New Roman" w:hAnsi="Times New Roman" w:cs="Times New Roman"/>
          <w:iCs/>
          <w:color w:val="000000"/>
          <w:szCs w:val="24"/>
        </w:rPr>
        <w:t>5</w:t>
      </w:r>
      <w:r w:rsidRPr="00495337">
        <w:rPr>
          <w:rFonts w:ascii="Times New Roman" w:hAnsi="Times New Roman" w:cs="Times New Roman"/>
          <w:iCs/>
          <w:color w:val="000000"/>
          <w:szCs w:val="24"/>
        </w:rPr>
        <w:t xml:space="preserve"> pav.</w:t>
      </w:r>
      <w:r w:rsidRPr="00495337">
        <w:rPr>
          <w:rFonts w:ascii="Times New Roman" w:hAnsi="Times New Roman" w:cs="Times New Roman"/>
          <w:i/>
          <w:iCs/>
          <w:color w:val="000000"/>
          <w:szCs w:val="24"/>
        </w:rPr>
        <w:t xml:space="preserve"> </w:t>
      </w:r>
      <w:r w:rsidRPr="00495337">
        <w:rPr>
          <w:rFonts w:ascii="Times New Roman" w:hAnsi="Times New Roman" w:cs="Times New Roman"/>
          <w:b/>
          <w:iCs/>
          <w:color w:val="000000"/>
          <w:szCs w:val="24"/>
        </w:rPr>
        <w:t>vaikų pasiskirstymas pagal nuolatinių dantų ėduonies intensyvumą (KPI indeksas) 2017 m.</w:t>
      </w:r>
    </w:p>
    <w:p w:rsidR="00076BF9" w:rsidRDefault="00076BF9" w:rsidP="00F12491">
      <w:pPr>
        <w:autoSpaceDE w:val="0"/>
        <w:autoSpaceDN w:val="0"/>
        <w:adjustRightInd w:val="0"/>
        <w:spacing w:after="0" w:line="360" w:lineRule="auto"/>
        <w:jc w:val="both"/>
        <w:rPr>
          <w:rFonts w:ascii="Times New Roman" w:hAnsi="Times New Roman" w:cs="Times New Roman"/>
          <w:sz w:val="24"/>
        </w:rPr>
      </w:pPr>
    </w:p>
    <w:p w:rsidR="00076BF9" w:rsidRDefault="00076BF9" w:rsidP="00076B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rPr>
        <w:tab/>
      </w:r>
      <w:r w:rsidRPr="004061F9">
        <w:rPr>
          <w:rFonts w:ascii="Times New Roman" w:hAnsi="Times New Roman" w:cs="Times New Roman"/>
          <w:sz w:val="24"/>
        </w:rPr>
        <w:t xml:space="preserve">Daugiausia </w:t>
      </w:r>
      <w:r w:rsidR="00075127">
        <w:rPr>
          <w:rFonts w:ascii="Times New Roman" w:hAnsi="Times New Roman" w:cs="Times New Roman"/>
          <w:sz w:val="24"/>
        </w:rPr>
        <w:t>mokinių</w:t>
      </w:r>
      <w:r w:rsidRPr="004061F9">
        <w:rPr>
          <w:rFonts w:ascii="Times New Roman" w:hAnsi="Times New Roman" w:cs="Times New Roman"/>
          <w:sz w:val="24"/>
        </w:rPr>
        <w:t xml:space="preserve"> turinčių sveikus dantis</w:t>
      </w:r>
      <w:r>
        <w:rPr>
          <w:rFonts w:ascii="Times New Roman" w:hAnsi="Times New Roman" w:cs="Times New Roman"/>
          <w:sz w:val="24"/>
        </w:rPr>
        <w:t xml:space="preserve"> (t.y. neturinčių ėduonies pažeistų, plombuotų ir išrautų dantų) yra VII klasėse (24,84 proc.), mažiausiai -  II klasėse (</w:t>
      </w:r>
      <w:r w:rsidR="00F2317A">
        <w:rPr>
          <w:rFonts w:ascii="Times New Roman" w:hAnsi="Times New Roman" w:cs="Times New Roman"/>
          <w:sz w:val="24"/>
        </w:rPr>
        <w:t>4</w:t>
      </w:r>
      <w:r>
        <w:rPr>
          <w:rFonts w:ascii="Times New Roman" w:hAnsi="Times New Roman" w:cs="Times New Roman"/>
          <w:sz w:val="24"/>
        </w:rPr>
        <w:t xml:space="preserve"> pav.).</w:t>
      </w:r>
      <w:r>
        <w:rPr>
          <w:rFonts w:ascii="Times New Roman" w:hAnsi="Times New Roman" w:cs="Times New Roman"/>
          <w:color w:val="000000"/>
          <w:sz w:val="24"/>
          <w:szCs w:val="24"/>
        </w:rPr>
        <w:t xml:space="preserve"> </w:t>
      </w:r>
      <w:r w:rsidR="00075127">
        <w:rPr>
          <w:rFonts w:ascii="Times New Roman" w:hAnsi="Times New Roman" w:cs="Times New Roman"/>
          <w:color w:val="000000"/>
          <w:sz w:val="24"/>
          <w:szCs w:val="24"/>
        </w:rPr>
        <w:t>Mokinių</w:t>
      </w:r>
      <w:r>
        <w:rPr>
          <w:rFonts w:ascii="Times New Roman" w:hAnsi="Times New Roman" w:cs="Times New Roman"/>
          <w:color w:val="000000"/>
          <w:sz w:val="24"/>
          <w:szCs w:val="24"/>
        </w:rPr>
        <w:t>, neturinčių ė</w:t>
      </w:r>
      <w:r w:rsidRPr="00410F91">
        <w:rPr>
          <w:rFonts w:ascii="Times New Roman" w:hAnsi="Times New Roman" w:cs="Times New Roman"/>
          <w:color w:val="000000"/>
          <w:sz w:val="24"/>
          <w:szCs w:val="24"/>
        </w:rPr>
        <w:t>duonies pažeistu, plombuot</w:t>
      </w:r>
      <w:r>
        <w:rPr>
          <w:rFonts w:ascii="Times New Roman" w:hAnsi="Times New Roman" w:cs="Times New Roman"/>
          <w:color w:val="000000"/>
          <w:sz w:val="24"/>
          <w:szCs w:val="24"/>
        </w:rPr>
        <w:t>ų</w:t>
      </w:r>
      <w:r w:rsidRPr="00410F91">
        <w:rPr>
          <w:rFonts w:ascii="Times New Roman" w:hAnsi="Times New Roman" w:cs="Times New Roman"/>
          <w:color w:val="000000"/>
          <w:sz w:val="24"/>
          <w:szCs w:val="24"/>
        </w:rPr>
        <w:t xml:space="preserve"> bei d</w:t>
      </w:r>
      <w:r>
        <w:rPr>
          <w:rFonts w:ascii="Times New Roman" w:hAnsi="Times New Roman" w:cs="Times New Roman"/>
          <w:color w:val="000000"/>
          <w:sz w:val="24"/>
          <w:szCs w:val="24"/>
        </w:rPr>
        <w:t>ė</w:t>
      </w:r>
      <w:r w:rsidRPr="00410F91">
        <w:rPr>
          <w:rFonts w:ascii="Times New Roman" w:hAnsi="Times New Roman" w:cs="Times New Roman"/>
          <w:color w:val="000000"/>
          <w:sz w:val="24"/>
          <w:szCs w:val="24"/>
        </w:rPr>
        <w:t xml:space="preserve">l </w:t>
      </w:r>
      <w:r>
        <w:rPr>
          <w:rFonts w:ascii="Times New Roman" w:hAnsi="Times New Roman" w:cs="Times New Roman"/>
          <w:color w:val="000000"/>
          <w:sz w:val="24"/>
          <w:szCs w:val="24"/>
        </w:rPr>
        <w:t>ė</w:t>
      </w:r>
      <w:r w:rsidRPr="00410F91">
        <w:rPr>
          <w:rFonts w:ascii="Times New Roman" w:hAnsi="Times New Roman" w:cs="Times New Roman"/>
          <w:color w:val="000000"/>
          <w:sz w:val="24"/>
          <w:szCs w:val="24"/>
        </w:rPr>
        <w:t>duonies išraut</w:t>
      </w:r>
      <w:r>
        <w:rPr>
          <w:rFonts w:ascii="Times New Roman" w:hAnsi="Times New Roman" w:cs="Times New Roman"/>
          <w:color w:val="000000"/>
          <w:sz w:val="24"/>
          <w:szCs w:val="24"/>
        </w:rPr>
        <w:t>ų</w:t>
      </w:r>
      <w:r w:rsidRPr="00410F91">
        <w:rPr>
          <w:rFonts w:ascii="Times New Roman" w:hAnsi="Times New Roman" w:cs="Times New Roman"/>
          <w:color w:val="000000"/>
          <w:sz w:val="24"/>
          <w:szCs w:val="24"/>
        </w:rPr>
        <w:t xml:space="preserve"> dant</w:t>
      </w:r>
      <w:r>
        <w:rPr>
          <w:rFonts w:ascii="Times New Roman" w:hAnsi="Times New Roman" w:cs="Times New Roman"/>
          <w:color w:val="000000"/>
          <w:sz w:val="24"/>
          <w:szCs w:val="24"/>
        </w:rPr>
        <w:t>ų</w:t>
      </w:r>
      <w:r w:rsidRPr="00410F91">
        <w:rPr>
          <w:rFonts w:ascii="Times New Roman" w:hAnsi="Times New Roman" w:cs="Times New Roman"/>
          <w:color w:val="000000"/>
          <w:sz w:val="24"/>
          <w:szCs w:val="24"/>
        </w:rPr>
        <w:t xml:space="preserve"> skai</w:t>
      </w:r>
      <w:r>
        <w:rPr>
          <w:rFonts w:ascii="Times New Roman" w:hAnsi="Times New Roman" w:cs="Times New Roman"/>
          <w:color w:val="000000"/>
          <w:sz w:val="24"/>
          <w:szCs w:val="24"/>
        </w:rPr>
        <w:t>č</w:t>
      </w:r>
      <w:r w:rsidRPr="00410F91">
        <w:rPr>
          <w:rFonts w:ascii="Times New Roman" w:hAnsi="Times New Roman" w:cs="Times New Roman"/>
          <w:color w:val="000000"/>
          <w:sz w:val="24"/>
          <w:szCs w:val="24"/>
        </w:rPr>
        <w:t>ius buvo 4</w:t>
      </w:r>
      <w:r>
        <w:rPr>
          <w:rFonts w:ascii="Times New Roman" w:hAnsi="Times New Roman" w:cs="Times New Roman"/>
          <w:color w:val="000000"/>
          <w:sz w:val="24"/>
          <w:szCs w:val="24"/>
        </w:rPr>
        <w:t xml:space="preserve"> </w:t>
      </w:r>
      <w:r w:rsidRPr="00410F91">
        <w:rPr>
          <w:rFonts w:ascii="Times New Roman" w:hAnsi="Times New Roman" w:cs="Times New Roman"/>
          <w:color w:val="000000"/>
          <w:sz w:val="24"/>
          <w:szCs w:val="24"/>
        </w:rPr>
        <w:t>procentais didesnis 11–17 m. amžiaus grup</w:t>
      </w:r>
      <w:r>
        <w:rPr>
          <w:rFonts w:ascii="Times New Roman" w:hAnsi="Times New Roman" w:cs="Times New Roman"/>
          <w:color w:val="000000"/>
          <w:sz w:val="24"/>
          <w:szCs w:val="24"/>
        </w:rPr>
        <w:t>ė</w:t>
      </w:r>
      <w:r w:rsidRPr="00410F91">
        <w:rPr>
          <w:rFonts w:ascii="Times New Roman" w:hAnsi="Times New Roman" w:cs="Times New Roman"/>
          <w:color w:val="000000"/>
          <w:sz w:val="24"/>
          <w:szCs w:val="24"/>
        </w:rPr>
        <w:t>je (</w:t>
      </w:r>
      <w:r>
        <w:rPr>
          <w:rFonts w:ascii="Times New Roman" w:hAnsi="Times New Roman" w:cs="Times New Roman"/>
          <w:color w:val="000000"/>
          <w:sz w:val="24"/>
          <w:szCs w:val="24"/>
        </w:rPr>
        <w:t>16,97</w:t>
      </w:r>
      <w:r w:rsidRPr="00410F91">
        <w:rPr>
          <w:rFonts w:ascii="Times New Roman" w:hAnsi="Times New Roman" w:cs="Times New Roman"/>
          <w:color w:val="000000"/>
          <w:sz w:val="24"/>
          <w:szCs w:val="24"/>
        </w:rPr>
        <w:t xml:space="preserve"> proc.) ly</w:t>
      </w:r>
      <w:r w:rsidRPr="00410F91">
        <w:rPr>
          <w:rFonts w:ascii="Times New Roman" w:hAnsi="Times New Roman" w:cs="Times New Roman"/>
          <w:color w:val="000000"/>
          <w:sz w:val="24"/>
          <w:szCs w:val="24"/>
        </w:rPr>
        <w:softHyphen/>
        <w:t>ginant su 7–10 m. amžiaus vaikais (</w:t>
      </w:r>
      <w:r>
        <w:rPr>
          <w:rFonts w:ascii="Times New Roman" w:hAnsi="Times New Roman" w:cs="Times New Roman"/>
          <w:color w:val="000000"/>
          <w:sz w:val="24"/>
          <w:szCs w:val="24"/>
        </w:rPr>
        <w:t>12,56</w:t>
      </w:r>
      <w:r w:rsidRPr="00410F91">
        <w:rPr>
          <w:rFonts w:ascii="Times New Roman" w:hAnsi="Times New Roman" w:cs="Times New Roman"/>
          <w:color w:val="000000"/>
          <w:sz w:val="24"/>
          <w:szCs w:val="24"/>
        </w:rPr>
        <w:t xml:space="preserve"> proc</w:t>
      </w:r>
      <w:r w:rsidR="004F4C49">
        <w:rPr>
          <w:rFonts w:ascii="Times New Roman" w:hAnsi="Times New Roman" w:cs="Times New Roman"/>
          <w:color w:val="000000"/>
          <w:sz w:val="24"/>
          <w:szCs w:val="24"/>
        </w:rPr>
        <w:t>.</w:t>
      </w:r>
      <w:r w:rsidRPr="00410F91">
        <w:rPr>
          <w:rFonts w:ascii="Times New Roman" w:hAnsi="Times New Roman" w:cs="Times New Roman"/>
          <w:color w:val="000000"/>
          <w:sz w:val="24"/>
          <w:szCs w:val="24"/>
        </w:rPr>
        <w:t xml:space="preserve">). </w:t>
      </w:r>
    </w:p>
    <w:p w:rsidR="00076BF9" w:rsidRDefault="00076BF9" w:rsidP="00076BF9">
      <w:pPr>
        <w:spacing w:after="0" w:line="240" w:lineRule="auto"/>
        <w:jc w:val="center"/>
        <w:rPr>
          <w:rFonts w:ascii="Times New Roman" w:hAnsi="Times New Roman" w:cs="Times New Roman"/>
          <w:b/>
          <w:color w:val="548DD4" w:themeColor="text2" w:themeTint="99"/>
          <w:sz w:val="28"/>
        </w:rPr>
      </w:pPr>
      <w:r w:rsidRPr="005F1CCA">
        <w:rPr>
          <w:rFonts w:ascii="Times New Roman" w:hAnsi="Times New Roman" w:cs="Times New Roman"/>
          <w:b/>
          <w:noProof/>
          <w:color w:val="548DD4" w:themeColor="text2" w:themeTint="99"/>
          <w:sz w:val="28"/>
          <w:lang w:eastAsia="lt-LT"/>
        </w:rPr>
        <w:drawing>
          <wp:inline distT="0" distB="0" distL="0" distR="0">
            <wp:extent cx="5253486" cy="1725283"/>
            <wp:effectExtent l="0" t="0" r="0" b="0"/>
            <wp:docPr id="5"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BF9" w:rsidRDefault="00F2317A" w:rsidP="00076BF9">
      <w:pPr>
        <w:spacing w:after="0" w:line="240" w:lineRule="auto"/>
        <w:jc w:val="center"/>
        <w:rPr>
          <w:rFonts w:ascii="Times New Roman" w:hAnsi="Times New Roman" w:cs="Times New Roman"/>
          <w:b/>
        </w:rPr>
      </w:pPr>
      <w:r>
        <w:rPr>
          <w:rFonts w:ascii="Times New Roman" w:hAnsi="Times New Roman" w:cs="Times New Roman"/>
        </w:rPr>
        <w:t>4</w:t>
      </w:r>
      <w:r w:rsidR="00076BF9">
        <w:rPr>
          <w:rFonts w:ascii="Times New Roman" w:hAnsi="Times New Roman" w:cs="Times New Roman"/>
        </w:rPr>
        <w:t xml:space="preserve"> pav. </w:t>
      </w:r>
      <w:r w:rsidR="008C1727" w:rsidRPr="00A16388">
        <w:rPr>
          <w:rFonts w:ascii="Times New Roman" w:hAnsi="Times New Roman" w:cs="Times New Roman"/>
          <w:b/>
        </w:rPr>
        <w:t>Raseinių rajono mokinių</w:t>
      </w:r>
      <w:r w:rsidR="00076BF9" w:rsidRPr="004061F9">
        <w:rPr>
          <w:rFonts w:ascii="Times New Roman" w:hAnsi="Times New Roman" w:cs="Times New Roman"/>
          <w:b/>
        </w:rPr>
        <w:t>, neturinčių blogų dantų</w:t>
      </w:r>
      <w:r w:rsidR="00076BF9">
        <w:rPr>
          <w:rFonts w:ascii="Times New Roman" w:hAnsi="Times New Roman" w:cs="Times New Roman"/>
          <w:b/>
        </w:rPr>
        <w:t>,</w:t>
      </w:r>
      <w:r w:rsidR="00076BF9" w:rsidRPr="004061F9">
        <w:rPr>
          <w:rFonts w:ascii="Times New Roman" w:hAnsi="Times New Roman" w:cs="Times New Roman"/>
          <w:b/>
        </w:rPr>
        <w:t xml:space="preserve"> dalis, proc.</w:t>
      </w:r>
      <w:r w:rsidR="00076BF9">
        <w:rPr>
          <w:rFonts w:ascii="Times New Roman" w:hAnsi="Times New Roman" w:cs="Times New Roman"/>
          <w:b/>
        </w:rPr>
        <w:t xml:space="preserve"> pagal klases 2017 m.</w:t>
      </w:r>
    </w:p>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A16388" w:rsidRPr="00D93DA0" w:rsidRDefault="00A16388" w:rsidP="00076BF9">
      <w:pPr>
        <w:spacing w:after="0" w:line="240" w:lineRule="auto"/>
        <w:rPr>
          <w:rFonts w:ascii="Times New Roman" w:hAnsi="Times New Roman" w:cs="Times New Roman"/>
          <w:b/>
          <w:sz w:val="20"/>
        </w:rPr>
      </w:pPr>
    </w:p>
    <w:p w:rsidR="00076BF9" w:rsidRDefault="005A5D81" w:rsidP="007B25E1">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rPr>
        <w:tab/>
      </w:r>
      <w:r w:rsidR="00076BF9" w:rsidRPr="005D708B">
        <w:rPr>
          <w:rFonts w:ascii="Times New Roman" w:hAnsi="Times New Roman" w:cs="Times New Roman"/>
          <w:sz w:val="24"/>
          <w:szCs w:val="23"/>
        </w:rPr>
        <w:t xml:space="preserve">Vertinant </w:t>
      </w:r>
      <w:r w:rsidR="00075127">
        <w:rPr>
          <w:rFonts w:ascii="Times New Roman" w:hAnsi="Times New Roman" w:cs="Times New Roman"/>
          <w:sz w:val="24"/>
          <w:szCs w:val="23"/>
        </w:rPr>
        <w:t>mokinių</w:t>
      </w:r>
      <w:r w:rsidR="00076BF9" w:rsidRPr="005D708B">
        <w:rPr>
          <w:rFonts w:ascii="Times New Roman" w:hAnsi="Times New Roman" w:cs="Times New Roman"/>
          <w:sz w:val="24"/>
          <w:szCs w:val="23"/>
        </w:rPr>
        <w:t xml:space="preserve"> pieninių (</w:t>
      </w:r>
      <w:proofErr w:type="spellStart"/>
      <w:r w:rsidR="00076BF9" w:rsidRPr="005D708B">
        <w:rPr>
          <w:rFonts w:ascii="Times New Roman" w:hAnsi="Times New Roman" w:cs="Times New Roman"/>
          <w:sz w:val="24"/>
          <w:szCs w:val="23"/>
        </w:rPr>
        <w:t>kpi</w:t>
      </w:r>
      <w:proofErr w:type="spellEnd"/>
      <w:r w:rsidR="00076BF9" w:rsidRPr="005D708B">
        <w:rPr>
          <w:rFonts w:ascii="Times New Roman" w:hAnsi="Times New Roman" w:cs="Times New Roman"/>
          <w:sz w:val="24"/>
          <w:szCs w:val="23"/>
        </w:rPr>
        <w:t xml:space="preserve">) bei nuolatinių (KPI) dantų ėduonies intensyvumą, 2017 m. </w:t>
      </w:r>
      <w:r w:rsidR="00075127">
        <w:rPr>
          <w:rFonts w:ascii="Times New Roman" w:hAnsi="Times New Roman" w:cs="Times New Roman"/>
          <w:sz w:val="24"/>
          <w:szCs w:val="23"/>
        </w:rPr>
        <w:t>mokinių</w:t>
      </w:r>
      <w:r w:rsidR="00076BF9" w:rsidRPr="005D708B">
        <w:rPr>
          <w:rFonts w:ascii="Times New Roman" w:hAnsi="Times New Roman" w:cs="Times New Roman"/>
          <w:sz w:val="24"/>
          <w:szCs w:val="23"/>
        </w:rPr>
        <w:t xml:space="preserve"> </w:t>
      </w:r>
      <w:proofErr w:type="spellStart"/>
      <w:r w:rsidR="00076BF9" w:rsidRPr="005D708B">
        <w:rPr>
          <w:rFonts w:ascii="Times New Roman" w:hAnsi="Times New Roman" w:cs="Times New Roman"/>
          <w:sz w:val="24"/>
          <w:szCs w:val="23"/>
        </w:rPr>
        <w:t>kpi</w:t>
      </w:r>
      <w:proofErr w:type="spellEnd"/>
      <w:r w:rsidR="00076BF9" w:rsidRPr="005D708B">
        <w:rPr>
          <w:rFonts w:ascii="Times New Roman" w:hAnsi="Times New Roman" w:cs="Times New Roman"/>
          <w:sz w:val="24"/>
          <w:szCs w:val="23"/>
        </w:rPr>
        <w:t xml:space="preserve"> buvo žemas (1,72), KPI indeksas buvo vidutinis (3,08), bei </w:t>
      </w:r>
      <w:proofErr w:type="spellStart"/>
      <w:r w:rsidR="00076BF9" w:rsidRPr="005D708B">
        <w:rPr>
          <w:rFonts w:ascii="Times New Roman" w:hAnsi="Times New Roman" w:cs="Times New Roman"/>
          <w:sz w:val="24"/>
          <w:szCs w:val="23"/>
        </w:rPr>
        <w:t>kpi+KPI</w:t>
      </w:r>
      <w:proofErr w:type="spellEnd"/>
      <w:r w:rsidR="00076BF9" w:rsidRPr="005D708B">
        <w:rPr>
          <w:rFonts w:ascii="Times New Roman" w:hAnsi="Times New Roman" w:cs="Times New Roman"/>
          <w:sz w:val="24"/>
          <w:szCs w:val="23"/>
        </w:rPr>
        <w:t xml:space="preserve"> indeksas buvo aukštas (4,8)</w:t>
      </w:r>
      <w:r w:rsidR="00076BF9">
        <w:rPr>
          <w:rFonts w:ascii="Times New Roman" w:hAnsi="Times New Roman" w:cs="Times New Roman"/>
          <w:sz w:val="24"/>
          <w:szCs w:val="23"/>
        </w:rPr>
        <w:t xml:space="preserve"> (</w:t>
      </w:r>
      <w:r w:rsidR="004338C9">
        <w:rPr>
          <w:rFonts w:ascii="Times New Roman" w:hAnsi="Times New Roman" w:cs="Times New Roman"/>
          <w:sz w:val="24"/>
          <w:szCs w:val="23"/>
        </w:rPr>
        <w:t>2</w:t>
      </w:r>
      <w:r w:rsidR="00076BF9">
        <w:rPr>
          <w:rFonts w:ascii="Times New Roman" w:hAnsi="Times New Roman" w:cs="Times New Roman"/>
          <w:sz w:val="24"/>
          <w:szCs w:val="23"/>
        </w:rPr>
        <w:t xml:space="preserve"> lentelė)</w:t>
      </w:r>
      <w:r w:rsidR="00076BF9" w:rsidRPr="005D708B">
        <w:rPr>
          <w:rFonts w:ascii="Times New Roman" w:hAnsi="Times New Roman" w:cs="Times New Roman"/>
          <w:sz w:val="24"/>
          <w:szCs w:val="23"/>
        </w:rPr>
        <w:t>.</w:t>
      </w:r>
    </w:p>
    <w:p w:rsidR="00076BF9" w:rsidRPr="001600A4" w:rsidRDefault="004338C9" w:rsidP="00B602EF">
      <w:pPr>
        <w:tabs>
          <w:tab w:val="left" w:pos="1276"/>
          <w:tab w:val="left" w:pos="1418"/>
          <w:tab w:val="left" w:pos="4171"/>
        </w:tabs>
        <w:spacing w:after="0" w:line="240" w:lineRule="auto"/>
        <w:rPr>
          <w:rFonts w:ascii="Times New Roman" w:hAnsi="Times New Roman" w:cs="Times New Roman"/>
          <w:b/>
          <w:szCs w:val="23"/>
        </w:rPr>
      </w:pPr>
      <w:r>
        <w:rPr>
          <w:rFonts w:ascii="Times New Roman" w:hAnsi="Times New Roman" w:cs="Times New Roman"/>
          <w:szCs w:val="23"/>
        </w:rPr>
        <w:t>2</w:t>
      </w:r>
      <w:r w:rsidR="00076BF9">
        <w:rPr>
          <w:rFonts w:ascii="Times New Roman" w:hAnsi="Times New Roman" w:cs="Times New Roman"/>
          <w:szCs w:val="23"/>
        </w:rPr>
        <w:t xml:space="preserve"> l</w:t>
      </w:r>
      <w:r w:rsidR="00076BF9" w:rsidRPr="006B1507">
        <w:rPr>
          <w:rFonts w:ascii="Times New Roman" w:hAnsi="Times New Roman" w:cs="Times New Roman"/>
          <w:szCs w:val="23"/>
        </w:rPr>
        <w:t>entelė.</w:t>
      </w:r>
      <w:r w:rsidR="00076BF9">
        <w:rPr>
          <w:rFonts w:ascii="Times New Roman" w:hAnsi="Times New Roman" w:cs="Times New Roman"/>
          <w:b/>
          <w:szCs w:val="23"/>
        </w:rPr>
        <w:t xml:space="preserve"> </w:t>
      </w:r>
      <w:r w:rsidR="008C1727" w:rsidRPr="00A16388">
        <w:rPr>
          <w:rFonts w:ascii="Times New Roman" w:hAnsi="Times New Roman" w:cs="Times New Roman"/>
          <w:b/>
        </w:rPr>
        <w:t>Raseinių rajono mokinių</w:t>
      </w:r>
      <w:r w:rsidR="00076BF9" w:rsidRPr="001600A4">
        <w:rPr>
          <w:rFonts w:ascii="Times New Roman" w:hAnsi="Times New Roman" w:cs="Times New Roman"/>
          <w:b/>
          <w:szCs w:val="23"/>
        </w:rPr>
        <w:t xml:space="preserve"> pieninių ir nuolatinių dantų intensyvumo rodikliai, 2017 m.</w:t>
      </w:r>
    </w:p>
    <w:tbl>
      <w:tblPr>
        <w:tblStyle w:val="1vidutinistinklelis1parykinimas"/>
        <w:tblW w:w="0" w:type="auto"/>
        <w:tblLook w:val="04A0"/>
      </w:tblPr>
      <w:tblGrid>
        <w:gridCol w:w="2920"/>
        <w:gridCol w:w="2921"/>
        <w:gridCol w:w="2921"/>
      </w:tblGrid>
      <w:tr w:rsidR="00076BF9" w:rsidTr="00B602EF">
        <w:trPr>
          <w:cnfStyle w:val="100000000000"/>
          <w:trHeight w:val="223"/>
        </w:trPr>
        <w:tc>
          <w:tcPr>
            <w:cnfStyle w:val="001000000000"/>
            <w:tcW w:w="2920" w:type="dxa"/>
          </w:tcPr>
          <w:p w:rsidR="00076BF9" w:rsidRPr="00B602EF" w:rsidRDefault="00076BF9" w:rsidP="00525792">
            <w:pPr>
              <w:tabs>
                <w:tab w:val="left" w:pos="1276"/>
                <w:tab w:val="left" w:pos="1418"/>
                <w:tab w:val="left" w:pos="4171"/>
              </w:tabs>
              <w:spacing w:line="360" w:lineRule="auto"/>
              <w:jc w:val="center"/>
              <w:rPr>
                <w:rFonts w:ascii="Times New Roman" w:hAnsi="Times New Roman" w:cs="Times New Roman"/>
                <w:sz w:val="24"/>
                <w:szCs w:val="23"/>
              </w:rPr>
            </w:pPr>
            <w:proofErr w:type="spellStart"/>
            <w:r w:rsidRPr="00B602EF">
              <w:rPr>
                <w:rFonts w:ascii="Times New Roman" w:hAnsi="Times New Roman" w:cs="Times New Roman"/>
                <w:sz w:val="24"/>
                <w:szCs w:val="23"/>
              </w:rPr>
              <w:t>Kpi</w:t>
            </w:r>
            <w:proofErr w:type="spellEnd"/>
            <w:r w:rsidRPr="00B602EF">
              <w:rPr>
                <w:rFonts w:ascii="Times New Roman" w:hAnsi="Times New Roman" w:cs="Times New Roman"/>
                <w:sz w:val="24"/>
                <w:szCs w:val="23"/>
              </w:rPr>
              <w:t xml:space="preserve"> indeksas</w:t>
            </w:r>
          </w:p>
        </w:tc>
        <w:tc>
          <w:tcPr>
            <w:tcW w:w="2921" w:type="dxa"/>
          </w:tcPr>
          <w:p w:rsidR="00076BF9" w:rsidRPr="00B602EF" w:rsidRDefault="00076BF9" w:rsidP="00525792">
            <w:pPr>
              <w:tabs>
                <w:tab w:val="left" w:pos="1276"/>
                <w:tab w:val="left" w:pos="1418"/>
                <w:tab w:val="left" w:pos="4171"/>
              </w:tabs>
              <w:spacing w:line="360" w:lineRule="auto"/>
              <w:jc w:val="center"/>
              <w:cnfStyle w:val="100000000000"/>
              <w:rPr>
                <w:rFonts w:ascii="Times New Roman" w:hAnsi="Times New Roman" w:cs="Times New Roman"/>
                <w:sz w:val="24"/>
                <w:szCs w:val="23"/>
              </w:rPr>
            </w:pPr>
            <w:r w:rsidRPr="00B602EF">
              <w:rPr>
                <w:rFonts w:ascii="Times New Roman" w:hAnsi="Times New Roman" w:cs="Times New Roman"/>
                <w:sz w:val="24"/>
                <w:szCs w:val="23"/>
              </w:rPr>
              <w:t>KPI indeksas</w:t>
            </w:r>
          </w:p>
        </w:tc>
        <w:tc>
          <w:tcPr>
            <w:tcW w:w="2921" w:type="dxa"/>
          </w:tcPr>
          <w:p w:rsidR="00076BF9" w:rsidRPr="00B602EF" w:rsidRDefault="00076BF9" w:rsidP="00525792">
            <w:pPr>
              <w:tabs>
                <w:tab w:val="left" w:pos="1276"/>
                <w:tab w:val="left" w:pos="1418"/>
                <w:tab w:val="left" w:pos="4171"/>
              </w:tabs>
              <w:spacing w:line="360" w:lineRule="auto"/>
              <w:jc w:val="center"/>
              <w:cnfStyle w:val="100000000000"/>
              <w:rPr>
                <w:rFonts w:ascii="Times New Roman" w:hAnsi="Times New Roman" w:cs="Times New Roman"/>
                <w:sz w:val="24"/>
                <w:szCs w:val="23"/>
              </w:rPr>
            </w:pPr>
            <w:proofErr w:type="spellStart"/>
            <w:r w:rsidRPr="00B602EF">
              <w:rPr>
                <w:rFonts w:ascii="Times New Roman" w:hAnsi="Times New Roman" w:cs="Times New Roman"/>
                <w:sz w:val="24"/>
                <w:szCs w:val="23"/>
              </w:rPr>
              <w:t>kpi+KPI</w:t>
            </w:r>
            <w:proofErr w:type="spellEnd"/>
            <w:r w:rsidRPr="00B602EF">
              <w:rPr>
                <w:rFonts w:ascii="Times New Roman" w:hAnsi="Times New Roman" w:cs="Times New Roman"/>
                <w:sz w:val="24"/>
                <w:szCs w:val="23"/>
              </w:rPr>
              <w:t xml:space="preserve"> indeksas</w:t>
            </w:r>
          </w:p>
        </w:tc>
      </w:tr>
      <w:tr w:rsidR="00076BF9" w:rsidTr="00B602EF">
        <w:trPr>
          <w:cnfStyle w:val="000000100000"/>
          <w:trHeight w:val="234"/>
        </w:trPr>
        <w:tc>
          <w:tcPr>
            <w:cnfStyle w:val="001000000000"/>
            <w:tcW w:w="2920" w:type="dxa"/>
          </w:tcPr>
          <w:p w:rsidR="00076BF9" w:rsidRPr="00B602EF" w:rsidRDefault="00076BF9" w:rsidP="00525792">
            <w:pPr>
              <w:tabs>
                <w:tab w:val="left" w:pos="1276"/>
                <w:tab w:val="left" w:pos="1418"/>
                <w:tab w:val="left" w:pos="4171"/>
              </w:tabs>
              <w:spacing w:line="360" w:lineRule="auto"/>
              <w:jc w:val="center"/>
              <w:rPr>
                <w:rFonts w:ascii="Times New Roman" w:hAnsi="Times New Roman" w:cs="Times New Roman"/>
                <w:b w:val="0"/>
                <w:sz w:val="24"/>
                <w:szCs w:val="23"/>
              </w:rPr>
            </w:pPr>
            <w:r w:rsidRPr="00B602EF">
              <w:rPr>
                <w:rFonts w:ascii="Times New Roman" w:hAnsi="Times New Roman" w:cs="Times New Roman"/>
                <w:b w:val="0"/>
                <w:sz w:val="24"/>
                <w:szCs w:val="23"/>
              </w:rPr>
              <w:t>1,72</w:t>
            </w:r>
          </w:p>
        </w:tc>
        <w:tc>
          <w:tcPr>
            <w:tcW w:w="2921" w:type="dxa"/>
          </w:tcPr>
          <w:p w:rsidR="00076BF9" w:rsidRPr="00B602EF" w:rsidRDefault="00076BF9" w:rsidP="00525792">
            <w:pPr>
              <w:tabs>
                <w:tab w:val="left" w:pos="1276"/>
                <w:tab w:val="left" w:pos="1418"/>
                <w:tab w:val="left" w:pos="4171"/>
              </w:tabs>
              <w:spacing w:line="360" w:lineRule="auto"/>
              <w:jc w:val="center"/>
              <w:cnfStyle w:val="000000100000"/>
              <w:rPr>
                <w:rFonts w:ascii="Times New Roman" w:hAnsi="Times New Roman" w:cs="Times New Roman"/>
                <w:sz w:val="24"/>
                <w:szCs w:val="23"/>
              </w:rPr>
            </w:pPr>
            <w:r w:rsidRPr="00B602EF">
              <w:rPr>
                <w:rFonts w:ascii="Times New Roman" w:hAnsi="Times New Roman" w:cs="Times New Roman"/>
                <w:sz w:val="24"/>
                <w:szCs w:val="23"/>
              </w:rPr>
              <w:t>3,08</w:t>
            </w:r>
          </w:p>
        </w:tc>
        <w:tc>
          <w:tcPr>
            <w:tcW w:w="2921" w:type="dxa"/>
          </w:tcPr>
          <w:p w:rsidR="00076BF9" w:rsidRPr="00B602EF" w:rsidRDefault="00076BF9" w:rsidP="00525792">
            <w:pPr>
              <w:tabs>
                <w:tab w:val="left" w:pos="1276"/>
                <w:tab w:val="left" w:pos="1418"/>
                <w:tab w:val="left" w:pos="4171"/>
              </w:tabs>
              <w:spacing w:line="360" w:lineRule="auto"/>
              <w:jc w:val="center"/>
              <w:cnfStyle w:val="000000100000"/>
              <w:rPr>
                <w:rFonts w:ascii="Times New Roman" w:hAnsi="Times New Roman" w:cs="Times New Roman"/>
                <w:sz w:val="24"/>
                <w:szCs w:val="23"/>
              </w:rPr>
            </w:pPr>
            <w:r w:rsidRPr="00B602EF">
              <w:rPr>
                <w:rFonts w:ascii="Times New Roman" w:hAnsi="Times New Roman" w:cs="Times New Roman"/>
                <w:sz w:val="24"/>
                <w:szCs w:val="23"/>
              </w:rPr>
              <w:t>4,8</w:t>
            </w:r>
          </w:p>
        </w:tc>
      </w:tr>
    </w:tbl>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4338C9" w:rsidRPr="00D93DA0" w:rsidRDefault="004338C9" w:rsidP="003E6513">
      <w:pPr>
        <w:spacing w:after="0" w:line="240" w:lineRule="auto"/>
        <w:rPr>
          <w:rFonts w:ascii="Times New Roman" w:hAnsi="Times New Roman" w:cs="Times New Roman"/>
          <w:b/>
          <w:sz w:val="20"/>
        </w:rPr>
      </w:pPr>
    </w:p>
    <w:p w:rsidR="00076BF9" w:rsidRDefault="00076BF9" w:rsidP="003E6513">
      <w:pPr>
        <w:spacing w:after="0" w:line="360" w:lineRule="auto"/>
        <w:jc w:val="both"/>
        <w:rPr>
          <w:rFonts w:ascii="Times New Roman" w:hAnsi="Times New Roman" w:cs="Times New Roman"/>
          <w:sz w:val="24"/>
        </w:rPr>
      </w:pPr>
      <w:r>
        <w:rPr>
          <w:rFonts w:ascii="Times New Roman" w:hAnsi="Times New Roman" w:cs="Times New Roman"/>
          <w:sz w:val="24"/>
        </w:rPr>
        <w:tab/>
        <w:t>Pieninių dantų, kaip ir su jais susijusių pažeidimų, daugiausia turi pradinių klasių mokiniai, vėliau pieninius keičia nuolatiniai dantys. Pažeistų ėduonies pieninių dantų daugiausia turi I klasių mokiniai (810). Kuo vyresni vaikai, tuo jie turi mažiau pažeidimų, susijusių su pieniniais dantimis (</w:t>
      </w:r>
      <w:r w:rsidR="00F2317A">
        <w:rPr>
          <w:rFonts w:ascii="Times New Roman" w:hAnsi="Times New Roman" w:cs="Times New Roman"/>
          <w:sz w:val="24"/>
        </w:rPr>
        <w:t>5</w:t>
      </w:r>
      <w:r>
        <w:rPr>
          <w:rFonts w:ascii="Times New Roman" w:hAnsi="Times New Roman" w:cs="Times New Roman"/>
          <w:sz w:val="24"/>
        </w:rPr>
        <w:t xml:space="preserve"> pav.).</w:t>
      </w:r>
    </w:p>
    <w:p w:rsidR="00076BF9" w:rsidRDefault="00076BF9" w:rsidP="00081109">
      <w:pPr>
        <w:spacing w:after="0" w:line="360" w:lineRule="auto"/>
        <w:jc w:val="center"/>
        <w:rPr>
          <w:rFonts w:ascii="Times New Roman" w:hAnsi="Times New Roman" w:cs="Times New Roman"/>
          <w:sz w:val="24"/>
        </w:rPr>
      </w:pPr>
      <w:r w:rsidRPr="005F1CCA">
        <w:rPr>
          <w:rFonts w:ascii="Times New Roman" w:hAnsi="Times New Roman" w:cs="Times New Roman"/>
          <w:noProof/>
          <w:sz w:val="24"/>
          <w:lang w:eastAsia="lt-LT"/>
        </w:rPr>
        <w:drawing>
          <wp:inline distT="0" distB="0" distL="0" distR="0">
            <wp:extent cx="5676181" cy="1690778"/>
            <wp:effectExtent l="0" t="0" r="0" b="0"/>
            <wp:docPr id="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6BF9" w:rsidRDefault="00F2317A" w:rsidP="00076BF9">
      <w:pPr>
        <w:spacing w:after="0" w:line="240" w:lineRule="auto"/>
        <w:jc w:val="center"/>
        <w:rPr>
          <w:rFonts w:ascii="Times New Roman" w:hAnsi="Times New Roman" w:cs="Times New Roman"/>
          <w:b/>
        </w:rPr>
      </w:pPr>
      <w:r>
        <w:rPr>
          <w:rFonts w:ascii="Times New Roman" w:hAnsi="Times New Roman" w:cs="Times New Roman"/>
        </w:rPr>
        <w:t>5</w:t>
      </w:r>
      <w:r w:rsidR="00076BF9" w:rsidRPr="009F5BA5">
        <w:rPr>
          <w:rFonts w:ascii="Times New Roman" w:hAnsi="Times New Roman" w:cs="Times New Roman"/>
        </w:rPr>
        <w:t xml:space="preserve"> pav. </w:t>
      </w:r>
      <w:r w:rsidR="008C1727" w:rsidRPr="00A16388">
        <w:rPr>
          <w:rFonts w:ascii="Times New Roman" w:hAnsi="Times New Roman" w:cs="Times New Roman"/>
          <w:b/>
        </w:rPr>
        <w:t>Raseinių rajono mokinių</w:t>
      </w:r>
      <w:r w:rsidR="00075127">
        <w:rPr>
          <w:rFonts w:ascii="Times New Roman" w:hAnsi="Times New Roman" w:cs="Times New Roman"/>
          <w:b/>
        </w:rPr>
        <w:t>,</w:t>
      </w:r>
      <w:r w:rsidR="008C1727" w:rsidRPr="00A16388">
        <w:rPr>
          <w:rFonts w:ascii="Times New Roman" w:hAnsi="Times New Roman" w:cs="Times New Roman"/>
          <w:b/>
        </w:rPr>
        <w:t xml:space="preserve"> </w:t>
      </w:r>
      <w:r w:rsidR="008C1727">
        <w:rPr>
          <w:rFonts w:ascii="Times New Roman" w:hAnsi="Times New Roman" w:cs="Times New Roman"/>
          <w:b/>
        </w:rPr>
        <w:t>p</w:t>
      </w:r>
      <w:r w:rsidR="00076BF9" w:rsidRPr="009F5BA5">
        <w:rPr>
          <w:rFonts w:ascii="Times New Roman" w:hAnsi="Times New Roman" w:cs="Times New Roman"/>
          <w:b/>
        </w:rPr>
        <w:t>ieninių dantų skaičius pagal klases</w:t>
      </w:r>
      <w:r w:rsidR="007B25E1">
        <w:rPr>
          <w:rFonts w:ascii="Times New Roman" w:hAnsi="Times New Roman" w:cs="Times New Roman"/>
          <w:b/>
        </w:rPr>
        <w:t xml:space="preserve"> 2017 m.</w:t>
      </w:r>
    </w:p>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076BF9" w:rsidRDefault="00076BF9" w:rsidP="00076BF9">
      <w:pPr>
        <w:spacing w:after="0" w:line="360" w:lineRule="auto"/>
        <w:jc w:val="both"/>
        <w:rPr>
          <w:rFonts w:ascii="Times New Roman" w:hAnsi="Times New Roman" w:cs="Times New Roman"/>
          <w:b/>
          <w:color w:val="548DD4" w:themeColor="text2" w:themeTint="99"/>
          <w:sz w:val="28"/>
        </w:rPr>
      </w:pPr>
      <w:r>
        <w:rPr>
          <w:rFonts w:ascii="Times New Roman" w:hAnsi="Times New Roman" w:cs="Times New Roman"/>
          <w:sz w:val="24"/>
        </w:rPr>
        <w:lastRenderedPageBreak/>
        <w:tab/>
      </w:r>
      <w:r w:rsidRPr="009F5BA5">
        <w:rPr>
          <w:rFonts w:ascii="Times New Roman" w:hAnsi="Times New Roman" w:cs="Times New Roman"/>
          <w:sz w:val="24"/>
        </w:rPr>
        <w:t>Vyresnėse klasėse, kai pieninius dantis pakeičia nuolatiniai, at</w:t>
      </w:r>
      <w:r>
        <w:rPr>
          <w:rFonts w:ascii="Times New Roman" w:hAnsi="Times New Roman" w:cs="Times New Roman"/>
          <w:sz w:val="24"/>
        </w:rPr>
        <w:t>itinkamai daugėja jų ligų. Daugiausia plombuotų nuolatinių dantų turi X klasių mokiniai (1092), pažeistų ėduonies nuolatinių dantų daugiausia turi IX-X klasių mokiniai (skaičius viršija 500) (</w:t>
      </w:r>
      <w:r w:rsidR="00F2317A">
        <w:rPr>
          <w:rFonts w:ascii="Times New Roman" w:hAnsi="Times New Roman" w:cs="Times New Roman"/>
          <w:sz w:val="24"/>
        </w:rPr>
        <w:t>6</w:t>
      </w:r>
      <w:r>
        <w:rPr>
          <w:rFonts w:ascii="Times New Roman" w:hAnsi="Times New Roman" w:cs="Times New Roman"/>
          <w:sz w:val="24"/>
        </w:rPr>
        <w:t xml:space="preserve"> pav.).</w:t>
      </w:r>
    </w:p>
    <w:p w:rsidR="00076BF9" w:rsidRDefault="00076BF9" w:rsidP="00076BF9">
      <w:pPr>
        <w:spacing w:after="0" w:line="360" w:lineRule="auto"/>
        <w:jc w:val="center"/>
        <w:rPr>
          <w:rFonts w:ascii="Times New Roman" w:hAnsi="Times New Roman" w:cs="Times New Roman"/>
          <w:b/>
          <w:color w:val="548DD4" w:themeColor="text2" w:themeTint="99"/>
          <w:sz w:val="28"/>
        </w:rPr>
      </w:pPr>
      <w:r w:rsidRPr="005F1CCA">
        <w:rPr>
          <w:rFonts w:ascii="Times New Roman" w:hAnsi="Times New Roman" w:cs="Times New Roman"/>
          <w:b/>
          <w:noProof/>
          <w:color w:val="548DD4" w:themeColor="text2" w:themeTint="99"/>
          <w:sz w:val="28"/>
          <w:lang w:eastAsia="lt-LT"/>
        </w:rPr>
        <w:drawing>
          <wp:inline distT="0" distB="0" distL="0" distR="0">
            <wp:extent cx="5934974" cy="2363637"/>
            <wp:effectExtent l="0" t="0" r="0" b="0"/>
            <wp:docPr id="10"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6BF9" w:rsidRPr="00D93DA0" w:rsidRDefault="00F2317A" w:rsidP="00076BF9">
      <w:pPr>
        <w:spacing w:after="0" w:line="240" w:lineRule="auto"/>
        <w:jc w:val="center"/>
        <w:rPr>
          <w:rFonts w:ascii="Times New Roman" w:hAnsi="Times New Roman" w:cs="Times New Roman"/>
          <w:b/>
          <w:sz w:val="20"/>
        </w:rPr>
      </w:pPr>
      <w:r>
        <w:rPr>
          <w:rFonts w:ascii="Times New Roman" w:hAnsi="Times New Roman" w:cs="Times New Roman"/>
        </w:rPr>
        <w:t>6</w:t>
      </w:r>
      <w:r w:rsidR="00076BF9">
        <w:rPr>
          <w:rFonts w:ascii="Times New Roman" w:hAnsi="Times New Roman" w:cs="Times New Roman"/>
        </w:rPr>
        <w:t xml:space="preserve"> </w:t>
      </w:r>
      <w:r w:rsidR="00076BF9" w:rsidRPr="009F5BA5">
        <w:rPr>
          <w:rFonts w:ascii="Times New Roman" w:hAnsi="Times New Roman" w:cs="Times New Roman"/>
        </w:rPr>
        <w:t xml:space="preserve">pav. </w:t>
      </w:r>
      <w:r w:rsidR="008C1727" w:rsidRPr="00A16388">
        <w:rPr>
          <w:rFonts w:ascii="Times New Roman" w:hAnsi="Times New Roman" w:cs="Times New Roman"/>
          <w:b/>
        </w:rPr>
        <w:t>Raseinių rajono mokinių</w:t>
      </w:r>
      <w:r w:rsidR="00075127">
        <w:rPr>
          <w:rFonts w:ascii="Times New Roman" w:hAnsi="Times New Roman" w:cs="Times New Roman"/>
          <w:b/>
        </w:rPr>
        <w:t>,</w:t>
      </w:r>
      <w:r w:rsidR="008C1727" w:rsidRPr="00A16388">
        <w:rPr>
          <w:rFonts w:ascii="Times New Roman" w:hAnsi="Times New Roman" w:cs="Times New Roman"/>
          <w:b/>
        </w:rPr>
        <w:t xml:space="preserve"> </w:t>
      </w:r>
      <w:r w:rsidR="008C1727">
        <w:rPr>
          <w:rFonts w:ascii="Times New Roman" w:hAnsi="Times New Roman" w:cs="Times New Roman"/>
          <w:b/>
        </w:rPr>
        <w:t>n</w:t>
      </w:r>
      <w:r w:rsidR="00076BF9" w:rsidRPr="009F5BA5">
        <w:rPr>
          <w:rFonts w:ascii="Times New Roman" w:hAnsi="Times New Roman" w:cs="Times New Roman"/>
          <w:b/>
        </w:rPr>
        <w:t xml:space="preserve">uolatinių dantų </w:t>
      </w:r>
      <w:r w:rsidR="00076BF9" w:rsidRPr="00D93DA0">
        <w:rPr>
          <w:rFonts w:ascii="Times New Roman" w:hAnsi="Times New Roman" w:cs="Times New Roman"/>
          <w:b/>
          <w:sz w:val="20"/>
        </w:rPr>
        <w:t>skaičius pagal klases</w:t>
      </w:r>
      <w:r w:rsidR="007B25E1">
        <w:rPr>
          <w:rFonts w:ascii="Times New Roman" w:hAnsi="Times New Roman" w:cs="Times New Roman"/>
          <w:b/>
          <w:sz w:val="20"/>
        </w:rPr>
        <w:t xml:space="preserve"> </w:t>
      </w:r>
      <w:r w:rsidR="007B25E1">
        <w:rPr>
          <w:rFonts w:ascii="Times New Roman" w:hAnsi="Times New Roman" w:cs="Times New Roman"/>
          <w:b/>
        </w:rPr>
        <w:t>2017 m.</w:t>
      </w:r>
    </w:p>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5A5D81" w:rsidRPr="007D3ED6" w:rsidRDefault="005A5D81" w:rsidP="00F12491">
      <w:pPr>
        <w:spacing w:after="0" w:line="240" w:lineRule="auto"/>
        <w:rPr>
          <w:rFonts w:ascii="Times New Roman" w:hAnsi="Times New Roman" w:cs="Times New Roman"/>
        </w:rPr>
      </w:pPr>
    </w:p>
    <w:p w:rsidR="00076BF9" w:rsidRPr="006A0502" w:rsidRDefault="00076BF9" w:rsidP="00B04768">
      <w:pPr>
        <w:spacing w:after="0" w:line="360" w:lineRule="auto"/>
        <w:jc w:val="both"/>
        <w:rPr>
          <w:rFonts w:ascii="Times New Roman" w:hAnsi="Times New Roman" w:cs="Times New Roman"/>
          <w:sz w:val="24"/>
        </w:rPr>
      </w:pPr>
      <w:r>
        <w:rPr>
          <w:rFonts w:ascii="Times New Roman" w:hAnsi="Times New Roman" w:cs="Times New Roman"/>
          <w:sz w:val="24"/>
        </w:rPr>
        <w:tab/>
      </w:r>
      <w:r w:rsidRPr="006A0502">
        <w:rPr>
          <w:rFonts w:ascii="Times New Roman" w:hAnsi="Times New Roman" w:cs="Times New Roman"/>
          <w:sz w:val="24"/>
        </w:rPr>
        <w:t>Daugiausia</w:t>
      </w:r>
      <w:r>
        <w:rPr>
          <w:rFonts w:ascii="Times New Roman" w:hAnsi="Times New Roman" w:cs="Times New Roman"/>
          <w:sz w:val="24"/>
        </w:rPr>
        <w:t xml:space="preserve"> mokinių, kuriems yra diagnozuojamos </w:t>
      </w:r>
      <w:proofErr w:type="spellStart"/>
      <w:r>
        <w:rPr>
          <w:rFonts w:ascii="Times New Roman" w:hAnsi="Times New Roman" w:cs="Times New Roman"/>
          <w:sz w:val="24"/>
        </w:rPr>
        <w:t>sąkandžio</w:t>
      </w:r>
      <w:proofErr w:type="spellEnd"/>
      <w:r>
        <w:rPr>
          <w:rFonts w:ascii="Times New Roman" w:hAnsi="Times New Roman" w:cs="Times New Roman"/>
          <w:sz w:val="24"/>
        </w:rPr>
        <w:t xml:space="preserve"> patologijos yra VIII klasėse. Labiau paplitusios yra pavienių dantų nei žandikaulių </w:t>
      </w:r>
      <w:proofErr w:type="spellStart"/>
      <w:r>
        <w:rPr>
          <w:rFonts w:ascii="Times New Roman" w:hAnsi="Times New Roman" w:cs="Times New Roman"/>
          <w:sz w:val="24"/>
        </w:rPr>
        <w:t>sąkandžio</w:t>
      </w:r>
      <w:proofErr w:type="spellEnd"/>
      <w:r>
        <w:rPr>
          <w:rFonts w:ascii="Times New Roman" w:hAnsi="Times New Roman" w:cs="Times New Roman"/>
          <w:sz w:val="24"/>
        </w:rPr>
        <w:t xml:space="preserve"> patologijos. VIII ir X klasėse vaikų turinčių pavienių dantų </w:t>
      </w:r>
      <w:proofErr w:type="spellStart"/>
      <w:r>
        <w:rPr>
          <w:rFonts w:ascii="Times New Roman" w:hAnsi="Times New Roman" w:cs="Times New Roman"/>
          <w:sz w:val="24"/>
        </w:rPr>
        <w:t>sąkandžio</w:t>
      </w:r>
      <w:proofErr w:type="spellEnd"/>
      <w:r>
        <w:rPr>
          <w:rFonts w:ascii="Times New Roman" w:hAnsi="Times New Roman" w:cs="Times New Roman"/>
          <w:sz w:val="24"/>
        </w:rPr>
        <w:t xml:space="preserve"> patologiją skaičius viršijo 90, o daugiausia vaikų, turinčių žandikaulio patologiją yra VIII klasėse (</w:t>
      </w:r>
      <w:r w:rsidR="00F2317A">
        <w:rPr>
          <w:rFonts w:ascii="Times New Roman" w:hAnsi="Times New Roman" w:cs="Times New Roman"/>
          <w:sz w:val="24"/>
        </w:rPr>
        <w:t>7</w:t>
      </w:r>
      <w:r>
        <w:rPr>
          <w:rFonts w:ascii="Times New Roman" w:hAnsi="Times New Roman" w:cs="Times New Roman"/>
          <w:sz w:val="24"/>
        </w:rPr>
        <w:t xml:space="preserve"> pav.).</w:t>
      </w:r>
    </w:p>
    <w:p w:rsidR="00076BF9" w:rsidRDefault="00076BF9" w:rsidP="00076BF9">
      <w:pPr>
        <w:spacing w:after="0" w:line="360" w:lineRule="auto"/>
        <w:jc w:val="center"/>
        <w:rPr>
          <w:rFonts w:ascii="Times New Roman" w:hAnsi="Times New Roman" w:cs="Times New Roman"/>
          <w:b/>
        </w:rPr>
      </w:pPr>
      <w:r w:rsidRPr="005F1CCA">
        <w:rPr>
          <w:rFonts w:ascii="Times New Roman" w:hAnsi="Times New Roman" w:cs="Times New Roman"/>
          <w:b/>
          <w:noProof/>
          <w:lang w:eastAsia="lt-LT"/>
        </w:rPr>
        <w:drawing>
          <wp:inline distT="0" distB="0" distL="0" distR="0">
            <wp:extent cx="6176513" cy="2622430"/>
            <wp:effectExtent l="0" t="0" r="0" b="0"/>
            <wp:docPr id="11"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BF9" w:rsidRDefault="00F2317A" w:rsidP="00076BF9">
      <w:pPr>
        <w:spacing w:after="0" w:line="240" w:lineRule="auto"/>
        <w:jc w:val="center"/>
        <w:rPr>
          <w:rFonts w:ascii="Times New Roman" w:hAnsi="Times New Roman" w:cs="Times New Roman"/>
          <w:b/>
        </w:rPr>
      </w:pPr>
      <w:r>
        <w:rPr>
          <w:rFonts w:ascii="Times New Roman" w:hAnsi="Times New Roman" w:cs="Times New Roman"/>
        </w:rPr>
        <w:t>7</w:t>
      </w:r>
      <w:r w:rsidR="00076BF9">
        <w:rPr>
          <w:rFonts w:ascii="Times New Roman" w:hAnsi="Times New Roman" w:cs="Times New Roman"/>
        </w:rPr>
        <w:t xml:space="preserve"> pav. </w:t>
      </w:r>
      <w:proofErr w:type="spellStart"/>
      <w:r w:rsidR="00076BF9">
        <w:rPr>
          <w:rFonts w:ascii="Times New Roman" w:hAnsi="Times New Roman" w:cs="Times New Roman"/>
          <w:b/>
        </w:rPr>
        <w:t>Sąkandžio</w:t>
      </w:r>
      <w:proofErr w:type="spellEnd"/>
      <w:r w:rsidR="00076BF9">
        <w:rPr>
          <w:rFonts w:ascii="Times New Roman" w:hAnsi="Times New Roman" w:cs="Times New Roman"/>
          <w:b/>
        </w:rPr>
        <w:t xml:space="preserve"> patologijos turinčių </w:t>
      </w:r>
      <w:r w:rsidR="008C1727" w:rsidRPr="00A16388">
        <w:rPr>
          <w:rFonts w:ascii="Times New Roman" w:hAnsi="Times New Roman" w:cs="Times New Roman"/>
          <w:b/>
        </w:rPr>
        <w:t>Raseinių rajono mokinių</w:t>
      </w:r>
      <w:r w:rsidR="00076BF9">
        <w:rPr>
          <w:rFonts w:ascii="Times New Roman" w:hAnsi="Times New Roman" w:cs="Times New Roman"/>
          <w:b/>
        </w:rPr>
        <w:t xml:space="preserve"> skaičiaus pasiskirstymas pagal klases</w:t>
      </w:r>
      <w:r w:rsidR="007B25E1">
        <w:rPr>
          <w:rFonts w:ascii="Times New Roman" w:hAnsi="Times New Roman" w:cs="Times New Roman"/>
          <w:b/>
        </w:rPr>
        <w:t xml:space="preserve"> 2017 m.</w:t>
      </w:r>
    </w:p>
    <w:p w:rsidR="00F12491" w:rsidRPr="00A16388" w:rsidRDefault="00F12491" w:rsidP="00F12491">
      <w:pPr>
        <w:rPr>
          <w:rFonts w:ascii="Times New Roman" w:hAnsi="Times New Roman" w:cs="Times New Roman"/>
          <w:sz w:val="20"/>
          <w:szCs w:val="20"/>
        </w:rPr>
      </w:pPr>
      <w:r w:rsidRPr="00A16388">
        <w:rPr>
          <w:rFonts w:ascii="Times New Roman" w:hAnsi="Times New Roman" w:cs="Times New Roman"/>
          <w:sz w:val="20"/>
          <w:szCs w:val="20"/>
        </w:rPr>
        <w:t xml:space="preserve">Šaltinis: Higienos instituto Sveikatos informacijos centras, </w:t>
      </w:r>
      <w:r>
        <w:rPr>
          <w:rFonts w:ascii="Times New Roman" w:hAnsi="Times New Roman" w:cs="Times New Roman"/>
          <w:sz w:val="20"/>
          <w:szCs w:val="20"/>
        </w:rPr>
        <w:t>v</w:t>
      </w:r>
      <w:r w:rsidRPr="00A16388">
        <w:rPr>
          <w:rFonts w:ascii="Times New Roman" w:hAnsi="Times New Roman" w:cs="Times New Roman"/>
          <w:sz w:val="20"/>
          <w:szCs w:val="20"/>
        </w:rPr>
        <w:t xml:space="preserve">aikų sveikatos </w:t>
      </w:r>
      <w:proofErr w:type="spellStart"/>
      <w:r w:rsidRPr="00A16388">
        <w:rPr>
          <w:rFonts w:ascii="Times New Roman" w:hAnsi="Times New Roman" w:cs="Times New Roman"/>
          <w:sz w:val="20"/>
          <w:szCs w:val="20"/>
        </w:rPr>
        <w:t>stebėsenos</w:t>
      </w:r>
      <w:proofErr w:type="spellEnd"/>
      <w:r w:rsidRPr="00A16388">
        <w:rPr>
          <w:rFonts w:ascii="Times New Roman" w:hAnsi="Times New Roman" w:cs="Times New Roman"/>
          <w:sz w:val="20"/>
          <w:szCs w:val="20"/>
        </w:rPr>
        <w:t xml:space="preserve"> informacinė sistema</w:t>
      </w:r>
    </w:p>
    <w:p w:rsidR="007B25E1" w:rsidRPr="00D2109A" w:rsidRDefault="007B25E1" w:rsidP="004F4C49">
      <w:pPr>
        <w:spacing w:after="0" w:line="240" w:lineRule="auto"/>
        <w:rPr>
          <w:rFonts w:ascii="Times New Roman" w:hAnsi="Times New Roman" w:cs="Times New Roman"/>
          <w:sz w:val="24"/>
        </w:rPr>
      </w:pPr>
      <w:r w:rsidRPr="00D2109A">
        <w:rPr>
          <w:rFonts w:ascii="Times New Roman" w:hAnsi="Times New Roman" w:cs="Times New Roman"/>
          <w:sz w:val="24"/>
        </w:rPr>
        <w:t>A</w:t>
      </w:r>
      <w:r w:rsidR="005C0BDC">
        <w:rPr>
          <w:rFonts w:ascii="Times New Roman" w:hAnsi="Times New Roman" w:cs="Times New Roman"/>
          <w:sz w:val="24"/>
        </w:rPr>
        <w:t xml:space="preserve">nalizę </w:t>
      </w:r>
      <w:r w:rsidRPr="00D2109A">
        <w:rPr>
          <w:rFonts w:ascii="Times New Roman" w:hAnsi="Times New Roman" w:cs="Times New Roman"/>
          <w:sz w:val="24"/>
        </w:rPr>
        <w:t>parengė:</w:t>
      </w:r>
    </w:p>
    <w:p w:rsidR="005F201F" w:rsidRDefault="007B25E1" w:rsidP="00B04768">
      <w:pPr>
        <w:spacing w:after="0" w:line="240" w:lineRule="auto"/>
        <w:jc w:val="both"/>
      </w:pPr>
      <w:r w:rsidRPr="00D2109A">
        <w:rPr>
          <w:rFonts w:ascii="Times New Roman" w:hAnsi="Times New Roman" w:cs="Times New Roman"/>
          <w:sz w:val="24"/>
        </w:rPr>
        <w:t xml:space="preserve">Raseinių rajono savivaldybės visuomenės sveikatos biuro visuomenės sveikatos  </w:t>
      </w:r>
      <w:proofErr w:type="spellStart"/>
      <w:r w:rsidRPr="00D2109A">
        <w:rPr>
          <w:rFonts w:ascii="Times New Roman" w:hAnsi="Times New Roman" w:cs="Times New Roman"/>
          <w:sz w:val="24"/>
        </w:rPr>
        <w:t>stebėsenos</w:t>
      </w:r>
      <w:proofErr w:type="spellEnd"/>
      <w:r w:rsidRPr="00D2109A">
        <w:rPr>
          <w:rFonts w:ascii="Times New Roman" w:hAnsi="Times New Roman" w:cs="Times New Roman"/>
          <w:sz w:val="24"/>
        </w:rPr>
        <w:t xml:space="preserve"> specialistė</w:t>
      </w:r>
      <w:r>
        <w:rPr>
          <w:rFonts w:ascii="Times New Roman" w:hAnsi="Times New Roman" w:cs="Times New Roman"/>
          <w:sz w:val="24"/>
        </w:rPr>
        <w:t xml:space="preserve"> </w:t>
      </w:r>
      <w:r w:rsidRPr="00D2109A">
        <w:rPr>
          <w:rFonts w:ascii="Times New Roman" w:hAnsi="Times New Roman" w:cs="Times New Roman"/>
          <w:sz w:val="24"/>
        </w:rPr>
        <w:t xml:space="preserve">Asta Kavaliauskienė, (8 683) 55 044, el. p. </w:t>
      </w:r>
      <w:hyperlink r:id="rId12" w:history="1">
        <w:r w:rsidRPr="00D2109A">
          <w:rPr>
            <w:rStyle w:val="Hipersaitas"/>
            <w:rFonts w:ascii="Times New Roman" w:hAnsi="Times New Roman" w:cs="Times New Roman"/>
            <w:sz w:val="24"/>
          </w:rPr>
          <w:t>astakavaliauskiene1@gmail.com</w:t>
        </w:r>
      </w:hyperlink>
    </w:p>
    <w:sectPr w:rsidR="005F201F" w:rsidSect="006230E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076BF9"/>
    <w:rsid w:val="00075127"/>
    <w:rsid w:val="00076BF9"/>
    <w:rsid w:val="00081109"/>
    <w:rsid w:val="00195F7D"/>
    <w:rsid w:val="00333A46"/>
    <w:rsid w:val="003E6513"/>
    <w:rsid w:val="004338C9"/>
    <w:rsid w:val="004F4C49"/>
    <w:rsid w:val="00594E39"/>
    <w:rsid w:val="005A5D81"/>
    <w:rsid w:val="005C0BDC"/>
    <w:rsid w:val="005F201F"/>
    <w:rsid w:val="0073371A"/>
    <w:rsid w:val="007B25E1"/>
    <w:rsid w:val="008C1727"/>
    <w:rsid w:val="00A16388"/>
    <w:rsid w:val="00A67EDE"/>
    <w:rsid w:val="00A7181A"/>
    <w:rsid w:val="00B03C09"/>
    <w:rsid w:val="00B04768"/>
    <w:rsid w:val="00B2779F"/>
    <w:rsid w:val="00B602EF"/>
    <w:rsid w:val="00C02A74"/>
    <w:rsid w:val="00D50514"/>
    <w:rsid w:val="00D55EBD"/>
    <w:rsid w:val="00F01B6A"/>
    <w:rsid w:val="00F12491"/>
    <w:rsid w:val="00F2317A"/>
    <w:rsid w:val="00FF16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6B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1vidutinistinklelis1parykinimas">
    <w:name w:val="Medium Grid 1 Accent 1"/>
    <w:basedOn w:val="prastojilentel"/>
    <w:uiPriority w:val="67"/>
    <w:rsid w:val="00076B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Debesliotekstas">
    <w:name w:val="Balloon Text"/>
    <w:basedOn w:val="prastasis"/>
    <w:link w:val="DebesliotekstasDiagrama"/>
    <w:uiPriority w:val="99"/>
    <w:semiHidden/>
    <w:unhideWhenUsed/>
    <w:rsid w:val="00076B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6BF9"/>
    <w:rPr>
      <w:rFonts w:ascii="Tahoma" w:hAnsi="Tahoma" w:cs="Tahoma"/>
      <w:sz w:val="16"/>
      <w:szCs w:val="16"/>
    </w:rPr>
  </w:style>
  <w:style w:type="character" w:styleId="Hipersaitas">
    <w:name w:val="Hyperlink"/>
    <w:basedOn w:val="Numatytasispastraiposriftas"/>
    <w:uiPriority w:val="99"/>
    <w:unhideWhenUsed/>
    <w:rsid w:val="007B25E1"/>
    <w:rPr>
      <w:color w:val="0000FF" w:themeColor="hyperlink"/>
      <w:u w:val="single"/>
    </w:rPr>
  </w:style>
  <w:style w:type="table" w:styleId="Lentelstinklelis">
    <w:name w:val="Table Grid"/>
    <w:basedOn w:val="prastojilentel"/>
    <w:uiPriority w:val="59"/>
    <w:rsid w:val="00433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vidutinisspalvinimas1parykinimas">
    <w:name w:val="Medium Shading 1 Accent 1"/>
    <w:basedOn w:val="prastojilentel"/>
    <w:uiPriority w:val="63"/>
    <w:rsid w:val="004338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vidutinistinklelis1parykinimas">
    <w:name w:val="Medium Grid 3 Accent 1"/>
    <w:basedOn w:val="prastojilentel"/>
    <w:uiPriority w:val="69"/>
    <w:rsid w:val="004338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mailto:astakavaliauskiene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2.png"/><Relationship Id="rId10" Type="http://schemas.openxmlformats.org/officeDocument/2006/relationships/chart" Target="charts/chart5.xml"/><Relationship Id="rId4" Type="http://schemas.openxmlformats.org/officeDocument/2006/relationships/image" Target="media/image1.jpeg"/><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Dant&#371;%20ir%20&#382;andikauli&#371;%20b&#363;kl&#279;s%20ataskaita\2017-2018%20mokslo%20metai\Vaik&#371;%20dant&#371;%20ir%20&#382;andikauli&#371;%20b&#363;kl&#279;s%20ataskaita%202017%20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27"/>
  <c:chart>
    <c:plotArea>
      <c:layout>
        <c:manualLayout>
          <c:layoutTarget val="inner"/>
          <c:xMode val="edge"/>
          <c:yMode val="edge"/>
          <c:x val="8.0660693275409881E-2"/>
          <c:y val="0.17163297155423141"/>
          <c:w val="0.8972547919260625"/>
          <c:h val="0.35454529332482243"/>
        </c:manualLayout>
      </c:layout>
      <c:barChart>
        <c:barDir val="col"/>
        <c:grouping val="clustered"/>
        <c:ser>
          <c:idx val="0"/>
          <c:order val="0"/>
          <c:dPt>
            <c:idx val="0"/>
            <c:spPr>
              <a:solidFill>
                <a:srgbClr val="00B050"/>
              </a:solidFill>
            </c:spPr>
          </c:dPt>
          <c:dPt>
            <c:idx val="1"/>
            <c:spPr>
              <a:solidFill>
                <a:srgbClr val="00B050"/>
              </a:solidFill>
            </c:spPr>
          </c:dPt>
          <c:dPt>
            <c:idx val="2"/>
            <c:spPr>
              <a:solidFill>
                <a:srgbClr val="00B050"/>
              </a:solidFill>
            </c:spPr>
          </c:dPt>
          <c:dPt>
            <c:idx val="3"/>
            <c:spPr>
              <a:solidFill>
                <a:srgbClr val="00B050"/>
              </a:solidFill>
            </c:spPr>
          </c:dPt>
          <c:dPt>
            <c:idx val="4"/>
            <c:spPr>
              <a:solidFill>
                <a:srgbClr val="00B050"/>
              </a:solidFill>
            </c:spPr>
          </c:dPt>
          <c:dPt>
            <c:idx val="5"/>
            <c:spPr>
              <a:solidFill>
                <a:srgbClr val="00B050"/>
              </a:solidFill>
            </c:spPr>
          </c:dPt>
          <c:dPt>
            <c:idx val="6"/>
            <c:spPr>
              <a:solidFill>
                <a:srgbClr val="00B050"/>
              </a:solidFill>
            </c:spPr>
          </c:dPt>
          <c:dPt>
            <c:idx val="7"/>
            <c:spPr>
              <a:solidFill>
                <a:srgbClr val="00B050"/>
              </a:solidFill>
            </c:spPr>
          </c:dPt>
          <c:dPt>
            <c:idx val="8"/>
            <c:spPr>
              <a:solidFill>
                <a:srgbClr val="00B050"/>
              </a:solidFill>
            </c:spPr>
          </c:dPt>
          <c:dPt>
            <c:idx val="9"/>
            <c:spPr>
              <a:solidFill>
                <a:srgbClr val="00B050"/>
              </a:solidFill>
            </c:spPr>
          </c:dPt>
          <c:dPt>
            <c:idx val="10"/>
            <c:spPr>
              <a:solidFill>
                <a:srgbClr val="FFFF00"/>
              </a:solidFill>
            </c:spPr>
          </c:dPt>
          <c:dPt>
            <c:idx val="11"/>
            <c:spPr>
              <a:solidFill>
                <a:srgbClr val="FFFF00"/>
              </a:solidFill>
            </c:spPr>
          </c:dPt>
          <c:dPt>
            <c:idx val="12"/>
            <c:spPr>
              <a:solidFill>
                <a:srgbClr val="FFFF00"/>
              </a:solidFill>
            </c:spPr>
          </c:dPt>
          <c:dPt>
            <c:idx val="13"/>
            <c:spPr>
              <a:solidFill>
                <a:srgbClr val="FFFF00"/>
              </a:solidFill>
            </c:spPr>
          </c:dPt>
          <c:dPt>
            <c:idx val="14"/>
            <c:spPr>
              <a:solidFill>
                <a:srgbClr val="FFFF00"/>
              </a:solidFill>
            </c:spPr>
          </c:dPt>
          <c:dPt>
            <c:idx val="15"/>
            <c:spPr>
              <a:solidFill>
                <a:srgbClr val="FFFF00"/>
              </a:solidFill>
            </c:spPr>
          </c:dPt>
          <c:dPt>
            <c:idx val="16"/>
            <c:spPr>
              <a:solidFill>
                <a:srgbClr val="FFFF00"/>
              </a:solidFill>
            </c:spPr>
          </c:dPt>
          <c:dPt>
            <c:idx val="17"/>
            <c:spPr>
              <a:solidFill>
                <a:srgbClr val="FFFF00"/>
              </a:solidFill>
            </c:spPr>
          </c:dPt>
          <c:dPt>
            <c:idx val="18"/>
            <c:spPr>
              <a:solidFill>
                <a:srgbClr val="FFFF00"/>
              </a:solidFill>
            </c:spPr>
          </c:dPt>
          <c:dPt>
            <c:idx val="19"/>
            <c:spPr>
              <a:solidFill>
                <a:srgbClr val="FFFF00"/>
              </a:solidFill>
            </c:spPr>
          </c:dPt>
          <c:dPt>
            <c:idx val="20"/>
            <c:spPr>
              <a:solidFill>
                <a:srgbClr val="FFFF00"/>
              </a:solidFill>
            </c:spPr>
          </c:dPt>
          <c:dPt>
            <c:idx val="21"/>
            <c:spPr>
              <a:solidFill>
                <a:srgbClr val="FFFF00"/>
              </a:solidFill>
            </c:spPr>
          </c:dPt>
          <c:dPt>
            <c:idx val="22"/>
            <c:spPr>
              <a:solidFill>
                <a:srgbClr val="FFFF00"/>
              </a:solidFill>
            </c:spPr>
          </c:dPt>
          <c:dPt>
            <c:idx val="24"/>
            <c:spPr>
              <a:solidFill>
                <a:srgbClr val="FFFF00"/>
              </a:solidFill>
            </c:spPr>
          </c:dPt>
          <c:dPt>
            <c:idx val="25"/>
            <c:spPr>
              <a:solidFill>
                <a:srgbClr val="FFFF00"/>
              </a:solidFill>
            </c:spPr>
          </c:dPt>
          <c:dPt>
            <c:idx val="26"/>
            <c:spPr>
              <a:solidFill>
                <a:srgbClr val="FFFF00"/>
              </a:solidFill>
            </c:spPr>
          </c:dPt>
          <c:dPt>
            <c:idx val="27"/>
            <c:spPr>
              <a:solidFill>
                <a:srgbClr val="FFFF00"/>
              </a:solidFill>
            </c:spPr>
          </c:dPt>
          <c:dPt>
            <c:idx val="28"/>
            <c:spPr>
              <a:solidFill>
                <a:srgbClr val="FFFF00"/>
              </a:solidFill>
            </c:spPr>
          </c:dPt>
          <c:dPt>
            <c:idx val="29"/>
            <c:spPr>
              <a:solidFill>
                <a:srgbClr val="FFFF00"/>
              </a:solidFill>
            </c:spPr>
          </c:dPt>
          <c:dPt>
            <c:idx val="30"/>
            <c:spPr>
              <a:solidFill>
                <a:srgbClr val="FFFF00"/>
              </a:solidFill>
            </c:spPr>
          </c:dPt>
          <c:dPt>
            <c:idx val="31"/>
            <c:spPr>
              <a:solidFill>
                <a:srgbClr val="FFFF00"/>
              </a:solidFill>
            </c:spPr>
          </c:dPt>
          <c:dPt>
            <c:idx val="32"/>
            <c:spPr>
              <a:solidFill>
                <a:srgbClr val="FFFF00"/>
              </a:solidFill>
            </c:spPr>
          </c:dPt>
          <c:dPt>
            <c:idx val="33"/>
            <c:spPr>
              <a:solidFill>
                <a:srgbClr val="FFFF00"/>
              </a:solidFill>
            </c:spPr>
          </c:dPt>
          <c:dPt>
            <c:idx val="34"/>
            <c:spPr>
              <a:solidFill>
                <a:srgbClr val="FFFF00"/>
              </a:solidFill>
            </c:spPr>
          </c:dPt>
          <c:dPt>
            <c:idx val="35"/>
            <c:spPr>
              <a:solidFill>
                <a:srgbClr val="FFFF00"/>
              </a:solidFill>
            </c:spPr>
          </c:dPt>
          <c:dPt>
            <c:idx val="36"/>
            <c:spPr>
              <a:solidFill>
                <a:srgbClr val="FFFF00"/>
              </a:solidFill>
            </c:spPr>
          </c:dPt>
          <c:dPt>
            <c:idx val="37"/>
            <c:spPr>
              <a:solidFill>
                <a:srgbClr val="FF0000"/>
              </a:solidFill>
            </c:spPr>
          </c:dPt>
          <c:dPt>
            <c:idx val="38"/>
            <c:spPr>
              <a:solidFill>
                <a:srgbClr val="FF0000"/>
              </a:solidFill>
            </c:spPr>
          </c:dPt>
          <c:dPt>
            <c:idx val="39"/>
            <c:spPr>
              <a:solidFill>
                <a:srgbClr val="FF0000"/>
              </a:solidFill>
            </c:spPr>
          </c:dPt>
          <c:dPt>
            <c:idx val="40"/>
            <c:spPr>
              <a:solidFill>
                <a:srgbClr val="FF0000"/>
              </a:solidFill>
            </c:spPr>
          </c:dPt>
          <c:dPt>
            <c:idx val="41"/>
            <c:spPr>
              <a:solidFill>
                <a:srgbClr val="FF0000"/>
              </a:solidFill>
            </c:spPr>
          </c:dPt>
          <c:dPt>
            <c:idx val="42"/>
            <c:spPr>
              <a:solidFill>
                <a:srgbClr val="FF0000"/>
              </a:solidFill>
            </c:spPr>
          </c:dPt>
          <c:dPt>
            <c:idx val="43"/>
            <c:spPr>
              <a:solidFill>
                <a:srgbClr val="FF0000"/>
              </a:solidFill>
            </c:spPr>
          </c:dPt>
          <c:dPt>
            <c:idx val="44"/>
            <c:spPr>
              <a:solidFill>
                <a:srgbClr val="FF0000"/>
              </a:solidFill>
            </c:spPr>
          </c:dPt>
          <c:dPt>
            <c:idx val="45"/>
            <c:spPr>
              <a:solidFill>
                <a:srgbClr val="FF0000"/>
              </a:solidFill>
            </c:spPr>
          </c:dPt>
          <c:dPt>
            <c:idx val="46"/>
            <c:spPr>
              <a:solidFill>
                <a:srgbClr val="FF0000"/>
              </a:solidFill>
            </c:spPr>
          </c:dPt>
          <c:dLbls>
            <c:txPr>
              <a:bodyPr rot="-5400000" vert="horz"/>
              <a:lstStyle/>
              <a:p>
                <a:pPr>
                  <a:defRPr/>
                </a:pPr>
                <a:endParaRPr lang="lt-LT"/>
              </a:p>
            </c:txPr>
            <c:showVal val="1"/>
          </c:dLbls>
          <c:cat>
            <c:strRef>
              <c:f>Lapas4!$B$3:$B$49</c:f>
              <c:strCache>
                <c:ptCount val="47"/>
                <c:pt idx="0">
                  <c:v>Mažeikių r. sav.</c:v>
                </c:pt>
                <c:pt idx="1">
                  <c:v>Kretingos r. sav.</c:v>
                </c:pt>
                <c:pt idx="2">
                  <c:v>Akmenės r.</c:v>
                </c:pt>
                <c:pt idx="3">
                  <c:v>Marijampolės sav.</c:v>
                </c:pt>
                <c:pt idx="4">
                  <c:v>Kėdainių r. sav.</c:v>
                </c:pt>
                <c:pt idx="5">
                  <c:v>Druskininkų sav.</c:v>
                </c:pt>
                <c:pt idx="6">
                  <c:v>Jonavos r. sav.</c:v>
                </c:pt>
                <c:pt idx="7">
                  <c:v>Alytaus m. sav.</c:v>
                </c:pt>
                <c:pt idx="8">
                  <c:v>Klaipėdos m. sav.</c:v>
                </c:pt>
                <c:pt idx="9">
                  <c:v>Šiaulių r. sav.</c:v>
                </c:pt>
                <c:pt idx="10">
                  <c:v>Pakruojo r. sav.</c:v>
                </c:pt>
                <c:pt idx="11">
                  <c:v>Kelmės r. sav.</c:v>
                </c:pt>
                <c:pt idx="12">
                  <c:v>Šiaulių m. sav.</c:v>
                </c:pt>
                <c:pt idx="13">
                  <c:v>Tauragės r. sav.</c:v>
                </c:pt>
                <c:pt idx="14">
                  <c:v>Jurbarko r. sav.</c:v>
                </c:pt>
                <c:pt idx="15">
                  <c:v>Klaipėdos r. sav.</c:v>
                </c:pt>
                <c:pt idx="16">
                  <c:v>Pasvalio r. sav.</c:v>
                </c:pt>
                <c:pt idx="17">
                  <c:v>Alytaus r. sav.</c:v>
                </c:pt>
                <c:pt idx="18">
                  <c:v>Elektrėnų sav.</c:v>
                </c:pt>
                <c:pt idx="19">
                  <c:v>Ukmergės r. sav.</c:v>
                </c:pt>
                <c:pt idx="20">
                  <c:v>Biržų r. sav.</c:v>
                </c:pt>
                <c:pt idx="21">
                  <c:v>Telšių r. sav.</c:v>
                </c:pt>
                <c:pt idx="22">
                  <c:v>Lazdijų r. sav.</c:v>
                </c:pt>
                <c:pt idx="23">
                  <c:v>LT</c:v>
                </c:pt>
                <c:pt idx="24">
                  <c:v>Vilniaus m. sav.</c:v>
                </c:pt>
                <c:pt idx="25">
                  <c:v>Trakų r. sav.</c:v>
                </c:pt>
                <c:pt idx="26">
                  <c:v>Panevėžio r. sav.</c:v>
                </c:pt>
                <c:pt idx="27">
                  <c:v>Panevėžio m. sav.</c:v>
                </c:pt>
                <c:pt idx="28">
                  <c:v>Vilkaviškio r. sav.</c:v>
                </c:pt>
                <c:pt idx="29">
                  <c:v>Šalčininkų r. sav.</c:v>
                </c:pt>
                <c:pt idx="30">
                  <c:v>Kaišiadorių r. sav.</c:v>
                </c:pt>
                <c:pt idx="31">
                  <c:v>Joniškio r. sav.</c:v>
                </c:pt>
                <c:pt idx="32">
                  <c:v>Anykščių r. sav.</c:v>
                </c:pt>
                <c:pt idx="33">
                  <c:v>Rokiškio r. sav.</c:v>
                </c:pt>
                <c:pt idx="34">
                  <c:v>Švenčionių r. sav.</c:v>
                </c:pt>
                <c:pt idx="35">
                  <c:v>Prienų r. sav.</c:v>
                </c:pt>
                <c:pt idx="36">
                  <c:v>Šilalės r. sav.</c:v>
                </c:pt>
                <c:pt idx="37">
                  <c:v>Utenos r. sav.</c:v>
                </c:pt>
                <c:pt idx="38">
                  <c:v>Raseinių r. sav.</c:v>
                </c:pt>
                <c:pt idx="39">
                  <c:v>Kauno m. sav.</c:v>
                </c:pt>
                <c:pt idx="40">
                  <c:v>Vilniaus r. sav.</c:v>
                </c:pt>
                <c:pt idx="41">
                  <c:v>Šakių r. sav.</c:v>
                </c:pt>
                <c:pt idx="42">
                  <c:v>Kauno r. sav.</c:v>
                </c:pt>
                <c:pt idx="43">
                  <c:v>Plungės r. sav.</c:v>
                </c:pt>
                <c:pt idx="44">
                  <c:v>Šilutės r. sav.</c:v>
                </c:pt>
                <c:pt idx="45">
                  <c:v>Varėnos r. sav.</c:v>
                </c:pt>
                <c:pt idx="46">
                  <c:v>Radviliškio r. sav.</c:v>
                </c:pt>
              </c:strCache>
            </c:strRef>
          </c:cat>
          <c:val>
            <c:numRef>
              <c:f>Lapas4!$C$3:$C$49</c:f>
              <c:numCache>
                <c:formatCode>General</c:formatCode>
                <c:ptCount val="47"/>
                <c:pt idx="0">
                  <c:v>0.58000000000000007</c:v>
                </c:pt>
                <c:pt idx="1">
                  <c:v>0.72000000000000064</c:v>
                </c:pt>
                <c:pt idx="2">
                  <c:v>0.74000000000000121</c:v>
                </c:pt>
                <c:pt idx="3">
                  <c:v>0.76000000000000134</c:v>
                </c:pt>
                <c:pt idx="4">
                  <c:v>0.78</c:v>
                </c:pt>
                <c:pt idx="5">
                  <c:v>0.79</c:v>
                </c:pt>
                <c:pt idx="6">
                  <c:v>0.8</c:v>
                </c:pt>
                <c:pt idx="7">
                  <c:v>0.83000000000000063</c:v>
                </c:pt>
                <c:pt idx="8">
                  <c:v>0.85000000000000064</c:v>
                </c:pt>
                <c:pt idx="9">
                  <c:v>0.86000000000000065</c:v>
                </c:pt>
                <c:pt idx="10">
                  <c:v>0.89</c:v>
                </c:pt>
                <c:pt idx="11">
                  <c:v>0.89</c:v>
                </c:pt>
                <c:pt idx="12">
                  <c:v>0.93</c:v>
                </c:pt>
                <c:pt idx="13">
                  <c:v>0.93</c:v>
                </c:pt>
                <c:pt idx="14">
                  <c:v>0.96000000000000063</c:v>
                </c:pt>
                <c:pt idx="15">
                  <c:v>0.96000000000000063</c:v>
                </c:pt>
                <c:pt idx="16">
                  <c:v>0.97000000000000064</c:v>
                </c:pt>
                <c:pt idx="17">
                  <c:v>0.97000000000000064</c:v>
                </c:pt>
                <c:pt idx="18">
                  <c:v>0.98</c:v>
                </c:pt>
                <c:pt idx="19">
                  <c:v>0.98</c:v>
                </c:pt>
                <c:pt idx="20">
                  <c:v>0.98</c:v>
                </c:pt>
                <c:pt idx="21">
                  <c:v>0.99</c:v>
                </c:pt>
                <c:pt idx="22">
                  <c:v>0.99</c:v>
                </c:pt>
                <c:pt idx="23" formatCode="0.00">
                  <c:v>1</c:v>
                </c:pt>
                <c:pt idx="24" formatCode="0.00">
                  <c:v>1</c:v>
                </c:pt>
                <c:pt idx="25" formatCode="0.00">
                  <c:v>1</c:v>
                </c:pt>
                <c:pt idx="26" formatCode="0.00">
                  <c:v>1</c:v>
                </c:pt>
                <c:pt idx="27" formatCode="0.00">
                  <c:v>1</c:v>
                </c:pt>
                <c:pt idx="28">
                  <c:v>1.04</c:v>
                </c:pt>
                <c:pt idx="29">
                  <c:v>1.05</c:v>
                </c:pt>
                <c:pt idx="30">
                  <c:v>1.05</c:v>
                </c:pt>
                <c:pt idx="31">
                  <c:v>1.05</c:v>
                </c:pt>
                <c:pt idx="32">
                  <c:v>1.05</c:v>
                </c:pt>
                <c:pt idx="33">
                  <c:v>1.05</c:v>
                </c:pt>
                <c:pt idx="34">
                  <c:v>1.07</c:v>
                </c:pt>
                <c:pt idx="35">
                  <c:v>1.08</c:v>
                </c:pt>
                <c:pt idx="36">
                  <c:v>1.08</c:v>
                </c:pt>
                <c:pt idx="37">
                  <c:v>1.0900000000000001</c:v>
                </c:pt>
                <c:pt idx="38" formatCode="_-* #,##0.00\ _L_t_-;\-* #,##0.00\ _L_t_-;_-* &quot;-&quot;??\ _L_t_-;_-@_-">
                  <c:v>1.1000000000000001</c:v>
                </c:pt>
                <c:pt idx="39">
                  <c:v>1.1499999999999972</c:v>
                </c:pt>
                <c:pt idx="40">
                  <c:v>1.1499999999999972</c:v>
                </c:pt>
                <c:pt idx="41">
                  <c:v>1.1599999999999973</c:v>
                </c:pt>
                <c:pt idx="42" formatCode="_-* #,##0.00\ _L_t_-;\-* #,##0.00\ _L_t_-;_-* &quot;-&quot;??\ _L_t_-;_-@_-">
                  <c:v>1.2</c:v>
                </c:pt>
                <c:pt idx="43" formatCode="_-* #,##0.00\ _L_t_-;\-* #,##0.00\ _L_t_-;_-* &quot;-&quot;??\ _L_t_-;_-@_-">
                  <c:v>1.2</c:v>
                </c:pt>
                <c:pt idx="44">
                  <c:v>1.22</c:v>
                </c:pt>
                <c:pt idx="45">
                  <c:v>1.22</c:v>
                </c:pt>
                <c:pt idx="46">
                  <c:v>1.3800000000000001</c:v>
                </c:pt>
              </c:numCache>
            </c:numRef>
          </c:val>
        </c:ser>
        <c:axId val="83100032"/>
        <c:axId val="85176320"/>
      </c:barChart>
      <c:catAx>
        <c:axId val="83100032"/>
        <c:scaling>
          <c:orientation val="minMax"/>
        </c:scaling>
        <c:axPos val="b"/>
        <c:tickLblPos val="nextTo"/>
        <c:txPr>
          <a:bodyPr rot="-5400000" vert="horz"/>
          <a:lstStyle/>
          <a:p>
            <a:pPr>
              <a:defRPr/>
            </a:pPr>
            <a:endParaRPr lang="lt-LT"/>
          </a:p>
        </c:txPr>
        <c:crossAx val="85176320"/>
        <c:crosses val="autoZero"/>
        <c:auto val="1"/>
        <c:lblAlgn val="ctr"/>
        <c:lblOffset val="100"/>
      </c:catAx>
      <c:valAx>
        <c:axId val="85176320"/>
        <c:scaling>
          <c:orientation val="minMax"/>
          <c:max val="1.6"/>
        </c:scaling>
        <c:axPos val="l"/>
        <c:majorGridlines/>
        <c:title>
          <c:tx>
            <c:rich>
              <a:bodyPr rot="-5400000" vert="horz"/>
              <a:lstStyle/>
              <a:p>
                <a:pPr>
                  <a:defRPr/>
                </a:pPr>
                <a:r>
                  <a:rPr lang="en-US"/>
                  <a:t>Santykis su LT vidurkiu</a:t>
                </a:r>
              </a:p>
            </c:rich>
          </c:tx>
        </c:title>
        <c:numFmt formatCode="General" sourceLinked="1"/>
        <c:tickLblPos val="nextTo"/>
        <c:crossAx val="83100032"/>
        <c:crosses val="autoZero"/>
        <c:crossBetween val="between"/>
      </c:valAx>
    </c:plotArea>
    <c:plotVisOnly val="1"/>
  </c:chart>
  <c:spPr>
    <a:ln w="19050">
      <a:noFill/>
    </a:ln>
  </c:spPr>
  <c:txPr>
    <a:bodyPr/>
    <a:lstStyle/>
    <a:p>
      <a:pPr>
        <a:defRPr sz="700"/>
      </a:pPr>
      <a:endParaRPr lang="lt-LT"/>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0449126355572112"/>
          <c:y val="6.408380770585495E-2"/>
          <c:w val="0.88144703704639804"/>
          <c:h val="0.62604083580461678"/>
        </c:manualLayout>
      </c:layout>
      <c:barChart>
        <c:barDir val="col"/>
        <c:grouping val="clustered"/>
        <c:ser>
          <c:idx val="0"/>
          <c:order val="0"/>
          <c:tx>
            <c:strRef>
              <c:f>Lapas3!$C$5</c:f>
              <c:strCache>
                <c:ptCount val="1"/>
                <c:pt idx="0">
                  <c:v>2016</c:v>
                </c:pt>
              </c:strCache>
            </c:strRef>
          </c:tx>
          <c:spPr>
            <a:solidFill>
              <a:schemeClr val="accent6">
                <a:lumMod val="75000"/>
              </a:schemeClr>
            </a:solidFill>
          </c:spPr>
          <c:dLbls>
            <c:txPr>
              <a:bodyPr rot="-5400000" vert="horz"/>
              <a:lstStyle/>
              <a:p>
                <a:pPr>
                  <a:defRPr sz="800"/>
                </a:pPr>
                <a:endParaRPr lang="lt-LT"/>
              </a:p>
            </c:txPr>
            <c:showVal val="1"/>
          </c:dLbls>
          <c:cat>
            <c:strRef>
              <c:f>Lapas3!$B$6:$B$17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Lapas3!$C$6:$C$17</c:f>
              <c:numCache>
                <c:formatCode>General</c:formatCode>
                <c:ptCount val="12"/>
                <c:pt idx="0">
                  <c:v>5.1899999999999995</c:v>
                </c:pt>
                <c:pt idx="1">
                  <c:v>5.31</c:v>
                </c:pt>
                <c:pt idx="2">
                  <c:v>6.02</c:v>
                </c:pt>
                <c:pt idx="3">
                  <c:v>5.0199999999999996</c:v>
                </c:pt>
                <c:pt idx="4">
                  <c:v>3.6</c:v>
                </c:pt>
                <c:pt idx="5">
                  <c:v>3.2600000000000002</c:v>
                </c:pt>
                <c:pt idx="6">
                  <c:v>3.2800000000000002</c:v>
                </c:pt>
                <c:pt idx="7">
                  <c:v>3.6</c:v>
                </c:pt>
                <c:pt idx="8">
                  <c:v>3.14</c:v>
                </c:pt>
                <c:pt idx="9">
                  <c:v>2.69</c:v>
                </c:pt>
                <c:pt idx="10">
                  <c:v>1.75</c:v>
                </c:pt>
                <c:pt idx="11">
                  <c:v>2.58</c:v>
                </c:pt>
              </c:numCache>
            </c:numRef>
          </c:val>
        </c:ser>
        <c:ser>
          <c:idx val="1"/>
          <c:order val="1"/>
          <c:tx>
            <c:strRef>
              <c:f>Lapas3!$D$5</c:f>
              <c:strCache>
                <c:ptCount val="1"/>
                <c:pt idx="0">
                  <c:v>2017</c:v>
                </c:pt>
              </c:strCache>
            </c:strRef>
          </c:tx>
          <c:spPr>
            <a:solidFill>
              <a:schemeClr val="tx2">
                <a:lumMod val="60000"/>
                <a:lumOff val="40000"/>
              </a:schemeClr>
            </a:solidFill>
          </c:spPr>
          <c:dLbls>
            <c:txPr>
              <a:bodyPr rot="-5400000" vert="horz"/>
              <a:lstStyle/>
              <a:p>
                <a:pPr>
                  <a:defRPr sz="800"/>
                </a:pPr>
                <a:endParaRPr lang="lt-LT"/>
              </a:p>
            </c:txPr>
            <c:showVal val="1"/>
          </c:dLbls>
          <c:cat>
            <c:strRef>
              <c:f>Lapas3!$B$6:$B$17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Lapas3!$D$6:$D$17</c:f>
              <c:numCache>
                <c:formatCode>General</c:formatCode>
                <c:ptCount val="12"/>
                <c:pt idx="0">
                  <c:v>5.75</c:v>
                </c:pt>
                <c:pt idx="1">
                  <c:v>6.24</c:v>
                </c:pt>
                <c:pt idx="2">
                  <c:v>5.57</c:v>
                </c:pt>
                <c:pt idx="3">
                  <c:v>5.4300000000000006</c:v>
                </c:pt>
                <c:pt idx="4">
                  <c:v>4.04</c:v>
                </c:pt>
                <c:pt idx="5">
                  <c:v>3.12</c:v>
                </c:pt>
                <c:pt idx="6">
                  <c:v>3.3699999999999997</c:v>
                </c:pt>
                <c:pt idx="7">
                  <c:v>4.3199999999999994</c:v>
                </c:pt>
                <c:pt idx="8">
                  <c:v>4.63</c:v>
                </c:pt>
                <c:pt idx="9">
                  <c:v>4.84</c:v>
                </c:pt>
                <c:pt idx="10">
                  <c:v>5.0599999999999996</c:v>
                </c:pt>
                <c:pt idx="11">
                  <c:v>5.3599999999999994</c:v>
                </c:pt>
              </c:numCache>
            </c:numRef>
          </c:val>
        </c:ser>
        <c:axId val="86578688"/>
        <c:axId val="86646784"/>
      </c:barChart>
      <c:catAx>
        <c:axId val="86578688"/>
        <c:scaling>
          <c:orientation val="minMax"/>
        </c:scaling>
        <c:axPos val="b"/>
        <c:title>
          <c:tx>
            <c:rich>
              <a:bodyPr/>
              <a:lstStyle/>
              <a:p>
                <a:pPr>
                  <a:defRPr/>
                </a:pPr>
                <a:r>
                  <a:rPr lang="lt-LT"/>
                  <a:t>Klasės</a:t>
                </a:r>
              </a:p>
            </c:rich>
          </c:tx>
          <c:layout>
            <c:manualLayout>
              <c:xMode val="edge"/>
              <c:yMode val="edge"/>
              <c:x val="0.84838519077296126"/>
              <c:y val="0.83142834418424949"/>
            </c:manualLayout>
          </c:layout>
        </c:title>
        <c:tickLblPos val="nextTo"/>
        <c:crossAx val="86646784"/>
        <c:crosses val="autoZero"/>
        <c:auto val="1"/>
        <c:lblAlgn val="ctr"/>
        <c:lblOffset val="100"/>
      </c:catAx>
      <c:valAx>
        <c:axId val="86646784"/>
        <c:scaling>
          <c:orientation val="minMax"/>
        </c:scaling>
        <c:axPos val="l"/>
        <c:majorGridlines/>
        <c:title>
          <c:tx>
            <c:rich>
              <a:bodyPr rot="-5400000" vert="horz"/>
              <a:lstStyle/>
              <a:p>
                <a:pPr>
                  <a:defRPr/>
                </a:pPr>
                <a:r>
                  <a:rPr lang="en-US"/>
                  <a:t>KPI indeksas</a:t>
                </a:r>
              </a:p>
            </c:rich>
          </c:tx>
        </c:title>
        <c:numFmt formatCode="General" sourceLinked="1"/>
        <c:tickLblPos val="nextTo"/>
        <c:crossAx val="86578688"/>
        <c:crosses val="autoZero"/>
        <c:crossBetween val="between"/>
      </c:valAx>
    </c:plotArea>
    <c:legend>
      <c:legendPos val="r"/>
      <c:layout>
        <c:manualLayout>
          <c:xMode val="edge"/>
          <c:yMode val="edge"/>
          <c:x val="0.38885647571843229"/>
          <c:y val="0.84584154253445798"/>
          <c:w val="0.22954987679951275"/>
          <c:h val="0.10485325697924122"/>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6"/>
  <c:chart>
    <c:plotArea>
      <c:layout>
        <c:manualLayout>
          <c:layoutTarget val="inner"/>
          <c:xMode val="edge"/>
          <c:yMode val="edge"/>
          <c:x val="0.14391860604076831"/>
          <c:y val="5.8044599193109447E-2"/>
          <c:w val="0.81307248833340462"/>
          <c:h val="0.78530935652347411"/>
        </c:manualLayout>
      </c:layout>
      <c:barChart>
        <c:barDir val="bar"/>
        <c:grouping val="clustered"/>
        <c:ser>
          <c:idx val="0"/>
          <c:order val="0"/>
          <c:spPr>
            <a:solidFill>
              <a:schemeClr val="accent6">
                <a:lumMod val="75000"/>
              </a:schemeClr>
            </a:solidFill>
          </c:spPr>
          <c:dLbls>
            <c:txPr>
              <a:bodyPr/>
              <a:lstStyle/>
              <a:p>
                <a:pPr>
                  <a:defRPr sz="800"/>
                </a:pPr>
                <a:endParaRPr lang="lt-LT"/>
              </a:p>
            </c:txPr>
            <c:showVal val="1"/>
          </c:dLbls>
          <c:cat>
            <c:strRef>
              <c:f>Lapas1!$D$61:$D$72</c:f>
              <c:strCache>
                <c:ptCount val="12"/>
                <c:pt idx="0">
                  <c:v>I klasė</c:v>
                </c:pt>
                <c:pt idx="1">
                  <c:v>II klasė</c:v>
                </c:pt>
                <c:pt idx="2">
                  <c:v>III klasė</c:v>
                </c:pt>
                <c:pt idx="3">
                  <c:v>IV klasė</c:v>
                </c:pt>
                <c:pt idx="4">
                  <c:v>V klasė</c:v>
                </c:pt>
                <c:pt idx="5">
                  <c:v>VI klasė</c:v>
                </c:pt>
                <c:pt idx="6">
                  <c:v>VII klasė</c:v>
                </c:pt>
                <c:pt idx="7">
                  <c:v>VIII klasė</c:v>
                </c:pt>
                <c:pt idx="8">
                  <c:v>IX klasė</c:v>
                </c:pt>
                <c:pt idx="9">
                  <c:v>X klasė</c:v>
                </c:pt>
                <c:pt idx="10">
                  <c:v>XI klasė</c:v>
                </c:pt>
                <c:pt idx="11">
                  <c:v>XII klasė</c:v>
                </c:pt>
              </c:strCache>
            </c:strRef>
          </c:cat>
          <c:val>
            <c:numRef>
              <c:f>Lapas1!$E$61:$E$72</c:f>
              <c:numCache>
                <c:formatCode>0.00</c:formatCode>
                <c:ptCount val="12"/>
                <c:pt idx="0">
                  <c:v>12.7</c:v>
                </c:pt>
                <c:pt idx="1">
                  <c:v>10.42</c:v>
                </c:pt>
                <c:pt idx="2">
                  <c:v>13.67</c:v>
                </c:pt>
                <c:pt idx="3">
                  <c:v>15.79</c:v>
                </c:pt>
                <c:pt idx="4">
                  <c:v>14.07</c:v>
                </c:pt>
                <c:pt idx="5">
                  <c:v>23.59</c:v>
                </c:pt>
                <c:pt idx="6">
                  <c:v>24.84</c:v>
                </c:pt>
                <c:pt idx="7">
                  <c:v>13.81</c:v>
                </c:pt>
                <c:pt idx="8">
                  <c:v>15.219999999999999</c:v>
                </c:pt>
                <c:pt idx="9">
                  <c:v>14.41</c:v>
                </c:pt>
                <c:pt idx="10">
                  <c:v>14.96</c:v>
                </c:pt>
                <c:pt idx="11">
                  <c:v>14.229999999999999</c:v>
                </c:pt>
              </c:numCache>
            </c:numRef>
          </c:val>
        </c:ser>
        <c:axId val="87030784"/>
        <c:axId val="89650304"/>
      </c:barChart>
      <c:catAx>
        <c:axId val="87030784"/>
        <c:scaling>
          <c:orientation val="minMax"/>
        </c:scaling>
        <c:axPos val="l"/>
        <c:tickLblPos val="nextTo"/>
        <c:txPr>
          <a:bodyPr/>
          <a:lstStyle/>
          <a:p>
            <a:pPr>
              <a:defRPr sz="800"/>
            </a:pPr>
            <a:endParaRPr lang="lt-LT"/>
          </a:p>
        </c:txPr>
        <c:crossAx val="89650304"/>
        <c:crosses val="autoZero"/>
        <c:auto val="1"/>
        <c:lblAlgn val="ctr"/>
        <c:lblOffset val="100"/>
      </c:catAx>
      <c:valAx>
        <c:axId val="89650304"/>
        <c:scaling>
          <c:orientation val="minMax"/>
          <c:max val="30"/>
          <c:min val="0"/>
        </c:scaling>
        <c:axPos val="b"/>
        <c:majorGridlines/>
        <c:title>
          <c:tx>
            <c:rich>
              <a:bodyPr/>
              <a:lstStyle/>
              <a:p>
                <a:pPr>
                  <a:defRPr/>
                </a:pPr>
                <a:r>
                  <a:rPr lang="en-US"/>
                  <a:t>Proc.</a:t>
                </a:r>
              </a:p>
            </c:rich>
          </c:tx>
          <c:layout>
            <c:manualLayout>
              <c:xMode val="edge"/>
              <c:yMode val="edge"/>
              <c:x val="0.8759126564512516"/>
              <c:y val="0.91545182963058402"/>
            </c:manualLayout>
          </c:layout>
        </c:title>
        <c:numFmt formatCode="General" sourceLinked="0"/>
        <c:tickLblPos val="nextTo"/>
        <c:crossAx val="87030784"/>
        <c:crosses val="autoZero"/>
        <c:crossBetween val="between"/>
        <c:majorUnit val="5"/>
        <c:minorUnit val="1"/>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7.3905020490571127E-2"/>
          <c:y val="6.0449917808717071E-2"/>
          <c:w val="0.87369222167650606"/>
          <c:h val="0.74261431853890558"/>
        </c:manualLayout>
      </c:layout>
      <c:barChart>
        <c:barDir val="col"/>
        <c:grouping val="clustered"/>
        <c:ser>
          <c:idx val="0"/>
          <c:order val="0"/>
          <c:tx>
            <c:strRef>
              <c:f>Lapas1!$C$6:$C$7</c:f>
              <c:strCache>
                <c:ptCount val="1"/>
              </c:strCache>
            </c:strRef>
          </c:tx>
          <c:cat>
            <c:strRef>
              <c:f>Lapas1!$B$8:$B$19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Lapas1!$C$8:$C$19</c:f>
              <c:numCache>
                <c:formatCode>General</c:formatCode>
                <c:ptCount val="12"/>
              </c:numCache>
            </c:numRef>
          </c:val>
        </c:ser>
        <c:ser>
          <c:idx val="1"/>
          <c:order val="1"/>
          <c:tx>
            <c:strRef>
              <c:f>Lapas1!$D$6:$D$7</c:f>
              <c:strCache>
                <c:ptCount val="1"/>
                <c:pt idx="0">
                  <c:v>Pažeistų ėduonies pieninių dantų skaičius
</c:v>
                </c:pt>
              </c:strCache>
            </c:strRef>
          </c:tx>
          <c:spPr>
            <a:solidFill>
              <a:schemeClr val="accent6">
                <a:lumMod val="75000"/>
              </a:schemeClr>
            </a:solidFill>
          </c:spPr>
          <c:dLbls>
            <c:txPr>
              <a:bodyPr rot="-5400000" vert="horz"/>
              <a:lstStyle/>
              <a:p>
                <a:pPr>
                  <a:defRPr sz="800"/>
                </a:pPr>
                <a:endParaRPr lang="lt-LT"/>
              </a:p>
            </c:txPr>
            <c:showVal val="1"/>
          </c:dLbls>
          <c:cat>
            <c:strRef>
              <c:f>Lapas1!$B$8:$B$19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Lapas1!$D$8:$D$19</c:f>
              <c:numCache>
                <c:formatCode>General</c:formatCode>
                <c:ptCount val="12"/>
                <c:pt idx="0">
                  <c:v>810</c:v>
                </c:pt>
                <c:pt idx="1">
                  <c:v>691</c:v>
                </c:pt>
                <c:pt idx="2">
                  <c:v>579</c:v>
                </c:pt>
                <c:pt idx="3">
                  <c:v>325</c:v>
                </c:pt>
                <c:pt idx="4">
                  <c:v>164</c:v>
                </c:pt>
                <c:pt idx="5">
                  <c:v>51</c:v>
                </c:pt>
                <c:pt idx="6">
                  <c:v>9</c:v>
                </c:pt>
                <c:pt idx="7">
                  <c:v>30</c:v>
                </c:pt>
                <c:pt idx="8">
                  <c:v>0</c:v>
                </c:pt>
                <c:pt idx="9">
                  <c:v>3</c:v>
                </c:pt>
                <c:pt idx="10">
                  <c:v>0</c:v>
                </c:pt>
                <c:pt idx="11">
                  <c:v>0</c:v>
                </c:pt>
              </c:numCache>
            </c:numRef>
          </c:val>
        </c:ser>
        <c:ser>
          <c:idx val="2"/>
          <c:order val="2"/>
          <c:tx>
            <c:strRef>
              <c:f>Lapas1!$E$6:$E$7</c:f>
              <c:strCache>
                <c:ptCount val="1"/>
                <c:pt idx="0">
                  <c:v>Plombuotų pieninių dantų skaičius
</c:v>
                </c:pt>
              </c:strCache>
            </c:strRef>
          </c:tx>
          <c:dLbls>
            <c:txPr>
              <a:bodyPr rot="-5400000" vert="horz"/>
              <a:lstStyle/>
              <a:p>
                <a:pPr>
                  <a:defRPr sz="800"/>
                </a:pPr>
                <a:endParaRPr lang="lt-LT"/>
              </a:p>
            </c:txPr>
            <c:showVal val="1"/>
          </c:dLbls>
          <c:cat>
            <c:strRef>
              <c:f>Lapas1!$B$8:$B$19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Lapas1!$E$8:$E$19</c:f>
              <c:numCache>
                <c:formatCode>General</c:formatCode>
                <c:ptCount val="12"/>
                <c:pt idx="0">
                  <c:v>384</c:v>
                </c:pt>
                <c:pt idx="1">
                  <c:v>433</c:v>
                </c:pt>
                <c:pt idx="2">
                  <c:v>245</c:v>
                </c:pt>
                <c:pt idx="3">
                  <c:v>280</c:v>
                </c:pt>
                <c:pt idx="4">
                  <c:v>70</c:v>
                </c:pt>
                <c:pt idx="5">
                  <c:v>37</c:v>
                </c:pt>
                <c:pt idx="6">
                  <c:v>6</c:v>
                </c:pt>
                <c:pt idx="7">
                  <c:v>4</c:v>
                </c:pt>
                <c:pt idx="8">
                  <c:v>0</c:v>
                </c:pt>
                <c:pt idx="9">
                  <c:v>5</c:v>
                </c:pt>
                <c:pt idx="10">
                  <c:v>0</c:v>
                </c:pt>
                <c:pt idx="11">
                  <c:v>0</c:v>
                </c:pt>
              </c:numCache>
            </c:numRef>
          </c:val>
        </c:ser>
        <c:ser>
          <c:idx val="3"/>
          <c:order val="3"/>
          <c:tx>
            <c:strRef>
              <c:f>Lapas1!$F$6:$F$7</c:f>
              <c:strCache>
                <c:ptCount val="1"/>
                <c:pt idx="0">
                  <c:v>Išrautų pieninių dantų skaičius</c:v>
                </c:pt>
              </c:strCache>
            </c:strRef>
          </c:tx>
          <c:spPr>
            <a:solidFill>
              <a:schemeClr val="tx2">
                <a:lumMod val="60000"/>
                <a:lumOff val="40000"/>
              </a:schemeClr>
            </a:solidFill>
          </c:spPr>
          <c:dLbls>
            <c:txPr>
              <a:bodyPr rot="-5400000" vert="horz"/>
              <a:lstStyle/>
              <a:p>
                <a:pPr>
                  <a:defRPr sz="800"/>
                </a:pPr>
                <a:endParaRPr lang="lt-LT"/>
              </a:p>
            </c:txPr>
            <c:showVal val="1"/>
          </c:dLbls>
          <c:cat>
            <c:strRef>
              <c:f>Lapas1!$B$8:$B$19</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Lapas1!$F$8:$F$19</c:f>
              <c:numCache>
                <c:formatCode>General</c:formatCode>
                <c:ptCount val="12"/>
                <c:pt idx="0">
                  <c:v>258</c:v>
                </c:pt>
                <c:pt idx="1">
                  <c:v>311</c:v>
                </c:pt>
                <c:pt idx="2">
                  <c:v>447</c:v>
                </c:pt>
                <c:pt idx="3">
                  <c:v>431</c:v>
                </c:pt>
                <c:pt idx="4">
                  <c:v>291</c:v>
                </c:pt>
                <c:pt idx="5">
                  <c:v>145</c:v>
                </c:pt>
                <c:pt idx="6">
                  <c:v>36</c:v>
                </c:pt>
                <c:pt idx="7">
                  <c:v>50</c:v>
                </c:pt>
                <c:pt idx="8">
                  <c:v>20</c:v>
                </c:pt>
                <c:pt idx="9">
                  <c:v>1</c:v>
                </c:pt>
                <c:pt idx="10">
                  <c:v>0</c:v>
                </c:pt>
                <c:pt idx="11">
                  <c:v>0</c:v>
                </c:pt>
              </c:numCache>
            </c:numRef>
          </c:val>
        </c:ser>
        <c:axId val="90816512"/>
        <c:axId val="90818432"/>
      </c:barChart>
      <c:catAx>
        <c:axId val="90816512"/>
        <c:scaling>
          <c:orientation val="minMax"/>
        </c:scaling>
        <c:axPos val="b"/>
        <c:tickLblPos val="nextTo"/>
        <c:crossAx val="90818432"/>
        <c:crosses val="autoZero"/>
        <c:auto val="1"/>
        <c:lblAlgn val="ctr"/>
        <c:lblOffset val="100"/>
      </c:catAx>
      <c:valAx>
        <c:axId val="90818432"/>
        <c:scaling>
          <c:orientation val="minMax"/>
        </c:scaling>
        <c:axPos val="l"/>
        <c:majorGridlines/>
        <c:numFmt formatCode="General" sourceLinked="1"/>
        <c:tickLblPos val="nextTo"/>
        <c:crossAx val="90816512"/>
        <c:crosses val="autoZero"/>
        <c:crossBetween val="between"/>
      </c:valAx>
    </c:plotArea>
    <c:legend>
      <c:legendPos val="t"/>
      <c:legendEntry>
        <c:idx val="0"/>
        <c:delete val="1"/>
      </c:legendEntry>
      <c:layout>
        <c:manualLayout>
          <c:xMode val="edge"/>
          <c:yMode val="edge"/>
          <c:x val="0.53115848691768908"/>
          <c:y val="3.320860460994686E-2"/>
          <c:w val="0.42979866216387397"/>
          <c:h val="0.53468580736205473"/>
        </c:manualLayout>
      </c:layout>
      <c:spPr>
        <a:solidFill>
          <a:schemeClr val="tx2">
            <a:lumMod val="20000"/>
            <a:lumOff val="80000"/>
          </a:schemeClr>
        </a:solidFill>
      </c:spPr>
      <c:txPr>
        <a:bodyPr/>
        <a:lstStyle/>
        <a:p>
          <a:pPr>
            <a:defRPr sz="1000"/>
          </a:pPr>
          <a:endParaRPr lang="lt-LT"/>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8.3153594131653102E-2"/>
          <c:y val="0.26299442069914536"/>
          <c:w val="0.88564128503343065"/>
          <c:h val="0.61017811445927184"/>
        </c:manualLayout>
      </c:layout>
      <c:barChart>
        <c:barDir val="col"/>
        <c:grouping val="clustered"/>
        <c:ser>
          <c:idx val="0"/>
          <c:order val="0"/>
          <c:tx>
            <c:strRef>
              <c:f>Lapas1!$D$24</c:f>
              <c:strCache>
                <c:ptCount val="1"/>
                <c:pt idx="0">
                  <c:v>Pažeistų ėduonies nuolatinių dantų skaičius
</c:v>
                </c:pt>
              </c:strCache>
            </c:strRef>
          </c:tx>
          <c:dLbls>
            <c:txPr>
              <a:bodyPr rot="-5400000" vert="horz"/>
              <a:lstStyle/>
              <a:p>
                <a:pPr>
                  <a:defRPr sz="800"/>
                </a:pPr>
                <a:endParaRPr lang="lt-LT"/>
              </a:p>
            </c:txPr>
            <c:showVal val="1"/>
          </c:dLbls>
          <c:cat>
            <c:strRef>
              <c:f>Lapas1!$B$25:$C$36</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Lapas1!$D$25:$D$36</c:f>
              <c:numCache>
                <c:formatCode>General</c:formatCode>
                <c:ptCount val="12"/>
                <c:pt idx="0">
                  <c:v>169</c:v>
                </c:pt>
                <c:pt idx="1">
                  <c:v>219</c:v>
                </c:pt>
                <c:pt idx="2">
                  <c:v>163</c:v>
                </c:pt>
                <c:pt idx="3">
                  <c:v>174</c:v>
                </c:pt>
                <c:pt idx="4">
                  <c:v>252</c:v>
                </c:pt>
                <c:pt idx="5">
                  <c:v>279</c:v>
                </c:pt>
                <c:pt idx="6">
                  <c:v>367</c:v>
                </c:pt>
                <c:pt idx="7">
                  <c:v>482</c:v>
                </c:pt>
                <c:pt idx="8">
                  <c:v>521</c:v>
                </c:pt>
                <c:pt idx="9">
                  <c:v>529</c:v>
                </c:pt>
                <c:pt idx="10">
                  <c:v>316</c:v>
                </c:pt>
                <c:pt idx="11">
                  <c:v>316</c:v>
                </c:pt>
              </c:numCache>
            </c:numRef>
          </c:val>
        </c:ser>
        <c:ser>
          <c:idx val="1"/>
          <c:order val="1"/>
          <c:tx>
            <c:strRef>
              <c:f>Lapas1!$E$24</c:f>
              <c:strCache>
                <c:ptCount val="1"/>
                <c:pt idx="0">
                  <c:v>Plombuotų nuolatinių dantų skaičius
</c:v>
                </c:pt>
              </c:strCache>
            </c:strRef>
          </c:tx>
          <c:spPr>
            <a:solidFill>
              <a:schemeClr val="accent6">
                <a:lumMod val="75000"/>
              </a:schemeClr>
            </a:solidFill>
          </c:spPr>
          <c:dLbls>
            <c:txPr>
              <a:bodyPr rot="-5400000" vert="horz"/>
              <a:lstStyle/>
              <a:p>
                <a:pPr>
                  <a:defRPr sz="800"/>
                </a:pPr>
                <a:endParaRPr lang="lt-LT"/>
              </a:p>
            </c:txPr>
            <c:showVal val="1"/>
          </c:dLbls>
          <c:cat>
            <c:strRef>
              <c:f>Lapas1!$B$25:$C$36</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Lapas1!$E$25:$E$36</c:f>
              <c:numCache>
                <c:formatCode>General</c:formatCode>
                <c:ptCount val="12"/>
                <c:pt idx="0">
                  <c:v>169</c:v>
                </c:pt>
                <c:pt idx="1">
                  <c:v>246</c:v>
                </c:pt>
                <c:pt idx="2">
                  <c:v>107</c:v>
                </c:pt>
                <c:pt idx="3">
                  <c:v>233</c:v>
                </c:pt>
                <c:pt idx="4">
                  <c:v>311</c:v>
                </c:pt>
                <c:pt idx="5">
                  <c:v>404</c:v>
                </c:pt>
                <c:pt idx="6">
                  <c:v>601</c:v>
                </c:pt>
                <c:pt idx="7">
                  <c:v>836</c:v>
                </c:pt>
                <c:pt idx="8">
                  <c:v>903</c:v>
                </c:pt>
                <c:pt idx="9">
                  <c:v>1092</c:v>
                </c:pt>
                <c:pt idx="10">
                  <c:v>913</c:v>
                </c:pt>
                <c:pt idx="11">
                  <c:v>998</c:v>
                </c:pt>
              </c:numCache>
            </c:numRef>
          </c:val>
        </c:ser>
        <c:ser>
          <c:idx val="2"/>
          <c:order val="2"/>
          <c:tx>
            <c:strRef>
              <c:f>Lapas1!$F$24</c:f>
              <c:strCache>
                <c:ptCount val="1"/>
                <c:pt idx="0">
                  <c:v>Išrautų nuolatinių dantų skaičius</c:v>
                </c:pt>
              </c:strCache>
            </c:strRef>
          </c:tx>
          <c:dLbls>
            <c:txPr>
              <a:bodyPr rot="-5400000" vert="horz"/>
              <a:lstStyle/>
              <a:p>
                <a:pPr>
                  <a:defRPr sz="800"/>
                </a:pPr>
                <a:endParaRPr lang="lt-LT"/>
              </a:p>
            </c:txPr>
            <c:showVal val="1"/>
          </c:dLbls>
          <c:cat>
            <c:strRef>
              <c:f>Lapas1!$B$25:$C$36</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Lapas1!$F$25:$F$36</c:f>
              <c:numCache>
                <c:formatCode>General</c:formatCode>
                <c:ptCount val="12"/>
                <c:pt idx="0">
                  <c:v>22</c:v>
                </c:pt>
                <c:pt idx="1">
                  <c:v>18</c:v>
                </c:pt>
                <c:pt idx="2">
                  <c:v>7</c:v>
                </c:pt>
                <c:pt idx="3">
                  <c:v>2</c:v>
                </c:pt>
                <c:pt idx="4">
                  <c:v>4</c:v>
                </c:pt>
                <c:pt idx="5">
                  <c:v>25</c:v>
                </c:pt>
                <c:pt idx="6">
                  <c:v>28</c:v>
                </c:pt>
                <c:pt idx="7">
                  <c:v>36</c:v>
                </c:pt>
                <c:pt idx="8">
                  <c:v>49</c:v>
                </c:pt>
                <c:pt idx="9">
                  <c:v>47</c:v>
                </c:pt>
                <c:pt idx="10">
                  <c:v>56</c:v>
                </c:pt>
                <c:pt idx="11">
                  <c:v>42</c:v>
                </c:pt>
              </c:numCache>
            </c:numRef>
          </c:val>
        </c:ser>
        <c:axId val="96326400"/>
        <c:axId val="96328320"/>
      </c:barChart>
      <c:catAx>
        <c:axId val="96326400"/>
        <c:scaling>
          <c:orientation val="minMax"/>
        </c:scaling>
        <c:axPos val="b"/>
        <c:tickLblPos val="nextTo"/>
        <c:crossAx val="96328320"/>
        <c:crosses val="autoZero"/>
        <c:auto val="1"/>
        <c:lblAlgn val="ctr"/>
        <c:lblOffset val="100"/>
      </c:catAx>
      <c:valAx>
        <c:axId val="96328320"/>
        <c:scaling>
          <c:orientation val="minMax"/>
        </c:scaling>
        <c:axPos val="l"/>
        <c:majorGridlines/>
        <c:numFmt formatCode="General" sourceLinked="1"/>
        <c:tickLblPos val="nextTo"/>
        <c:crossAx val="96326400"/>
        <c:crosses val="autoZero"/>
        <c:crossBetween val="between"/>
      </c:valAx>
    </c:plotArea>
    <c:legend>
      <c:legendPos val="r"/>
      <c:layout>
        <c:manualLayout>
          <c:xMode val="edge"/>
          <c:yMode val="edge"/>
          <c:x val="0.10211906572800487"/>
          <c:y val="3.1158220032807302E-2"/>
          <c:w val="0.39600224027940151"/>
          <c:h val="0.5214476673025511"/>
        </c:manualLayout>
      </c:layout>
      <c:spPr>
        <a:solidFill>
          <a:schemeClr val="tx2">
            <a:lumMod val="20000"/>
            <a:lumOff val="80000"/>
          </a:schemeClr>
        </a:solidFill>
        <a:ln>
          <a:noFill/>
        </a:ln>
      </c:spPr>
      <c:txPr>
        <a:bodyPr/>
        <a:lstStyle/>
        <a:p>
          <a:pPr>
            <a:defRPr sz="1000"/>
          </a:pPr>
          <a:endParaRPr lang="lt-LT"/>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6.3000388840283902E-2"/>
          <c:y val="0.15158507360492984"/>
          <c:w val="0.90418278733676616"/>
          <c:h val="0.72607953897067345"/>
        </c:manualLayout>
      </c:layout>
      <c:barChart>
        <c:barDir val="col"/>
        <c:grouping val="stacked"/>
        <c:ser>
          <c:idx val="0"/>
          <c:order val="0"/>
          <c:tx>
            <c:strRef>
              <c:f>Lapas1!$D$82</c:f>
              <c:strCache>
                <c:ptCount val="1"/>
                <c:pt idx="0">
                  <c:v>Vaikų, turinčių pavienių dantų sąkandžio patologiją, skaičius</c:v>
                </c:pt>
              </c:strCache>
            </c:strRef>
          </c:tx>
          <c:spPr>
            <a:solidFill>
              <a:schemeClr val="tx2">
                <a:lumMod val="60000"/>
                <a:lumOff val="40000"/>
              </a:schemeClr>
            </a:solidFill>
          </c:spPr>
          <c:dLbls>
            <c:showVal val="1"/>
          </c:dLbls>
          <c:cat>
            <c:strRef>
              <c:f>Lapas1!$C$83:$C$94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Lapas1!$D$83:$D$94</c:f>
              <c:numCache>
                <c:formatCode>General</c:formatCode>
                <c:ptCount val="12"/>
                <c:pt idx="0">
                  <c:v>87</c:v>
                </c:pt>
                <c:pt idx="1">
                  <c:v>78</c:v>
                </c:pt>
                <c:pt idx="2">
                  <c:v>65</c:v>
                </c:pt>
                <c:pt idx="3">
                  <c:v>87</c:v>
                </c:pt>
                <c:pt idx="4">
                  <c:v>62</c:v>
                </c:pt>
                <c:pt idx="5">
                  <c:v>84</c:v>
                </c:pt>
                <c:pt idx="6">
                  <c:v>81</c:v>
                </c:pt>
                <c:pt idx="7">
                  <c:v>90</c:v>
                </c:pt>
                <c:pt idx="8">
                  <c:v>76</c:v>
                </c:pt>
                <c:pt idx="9">
                  <c:v>91</c:v>
                </c:pt>
                <c:pt idx="10">
                  <c:v>51</c:v>
                </c:pt>
                <c:pt idx="11">
                  <c:v>55</c:v>
                </c:pt>
              </c:numCache>
            </c:numRef>
          </c:val>
        </c:ser>
        <c:ser>
          <c:idx val="1"/>
          <c:order val="1"/>
          <c:tx>
            <c:strRef>
              <c:f>Lapas1!$E$82</c:f>
              <c:strCache>
                <c:ptCount val="1"/>
                <c:pt idx="0">
                  <c:v>Vaikų, turinčių žandikaulių patologiją, skaičius</c:v>
                </c:pt>
              </c:strCache>
            </c:strRef>
          </c:tx>
          <c:spPr>
            <a:solidFill>
              <a:schemeClr val="accent6">
                <a:lumMod val="75000"/>
              </a:schemeClr>
            </a:solidFill>
          </c:spPr>
          <c:dLbls>
            <c:showVal val="1"/>
          </c:dLbls>
          <c:cat>
            <c:strRef>
              <c:f>Lapas1!$C$83:$C$94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Lapas1!$E$83:$E$94</c:f>
              <c:numCache>
                <c:formatCode>General</c:formatCode>
                <c:ptCount val="12"/>
                <c:pt idx="0">
                  <c:v>26</c:v>
                </c:pt>
                <c:pt idx="1">
                  <c:v>31</c:v>
                </c:pt>
                <c:pt idx="2">
                  <c:v>33</c:v>
                </c:pt>
                <c:pt idx="3">
                  <c:v>33</c:v>
                </c:pt>
                <c:pt idx="4">
                  <c:v>40</c:v>
                </c:pt>
                <c:pt idx="5">
                  <c:v>41</c:v>
                </c:pt>
                <c:pt idx="6">
                  <c:v>39</c:v>
                </c:pt>
                <c:pt idx="7">
                  <c:v>44</c:v>
                </c:pt>
                <c:pt idx="8">
                  <c:v>35</c:v>
                </c:pt>
                <c:pt idx="9">
                  <c:v>39</c:v>
                </c:pt>
                <c:pt idx="10">
                  <c:v>33</c:v>
                </c:pt>
                <c:pt idx="11">
                  <c:v>17</c:v>
                </c:pt>
              </c:numCache>
            </c:numRef>
          </c:val>
        </c:ser>
        <c:ser>
          <c:idx val="2"/>
          <c:order val="2"/>
          <c:tx>
            <c:strRef>
              <c:f>Lapas1!$F$82</c:f>
              <c:strCache>
                <c:ptCount val="1"/>
                <c:pt idx="0">
                  <c:v>Vaikų, neturinčių sąkandžio patologijos, skaičius</c:v>
                </c:pt>
              </c:strCache>
            </c:strRef>
          </c:tx>
          <c:dLbls>
            <c:showVal val="1"/>
          </c:dLbls>
          <c:cat>
            <c:strRef>
              <c:f>Lapas1!$C$83:$C$94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Lapas1!$F$83:$F$94</c:f>
              <c:numCache>
                <c:formatCode>General</c:formatCode>
                <c:ptCount val="12"/>
                <c:pt idx="0">
                  <c:v>205</c:v>
                </c:pt>
                <c:pt idx="1">
                  <c:v>198</c:v>
                </c:pt>
                <c:pt idx="2">
                  <c:v>180</c:v>
                </c:pt>
                <c:pt idx="3">
                  <c:v>148</c:v>
                </c:pt>
                <c:pt idx="4">
                  <c:v>166</c:v>
                </c:pt>
                <c:pt idx="5">
                  <c:v>174</c:v>
                </c:pt>
                <c:pt idx="6">
                  <c:v>188</c:v>
                </c:pt>
                <c:pt idx="7">
                  <c:v>198</c:v>
                </c:pt>
                <c:pt idx="8">
                  <c:v>211</c:v>
                </c:pt>
                <c:pt idx="9">
                  <c:v>215</c:v>
                </c:pt>
                <c:pt idx="10">
                  <c:v>169</c:v>
                </c:pt>
                <c:pt idx="11">
                  <c:v>182</c:v>
                </c:pt>
              </c:numCache>
            </c:numRef>
          </c:val>
        </c:ser>
        <c:overlap val="100"/>
        <c:axId val="99424128"/>
        <c:axId val="99425664"/>
      </c:barChart>
      <c:catAx>
        <c:axId val="99424128"/>
        <c:scaling>
          <c:orientation val="minMax"/>
        </c:scaling>
        <c:axPos val="b"/>
        <c:tickLblPos val="nextTo"/>
        <c:crossAx val="99425664"/>
        <c:crosses val="autoZero"/>
        <c:auto val="1"/>
        <c:lblAlgn val="ctr"/>
        <c:lblOffset val="100"/>
      </c:catAx>
      <c:valAx>
        <c:axId val="99425664"/>
        <c:scaling>
          <c:orientation val="minMax"/>
        </c:scaling>
        <c:axPos val="l"/>
        <c:majorGridlines/>
        <c:numFmt formatCode="General" sourceLinked="1"/>
        <c:tickLblPos val="nextTo"/>
        <c:crossAx val="99424128"/>
        <c:crosses val="autoZero"/>
        <c:crossBetween val="between"/>
      </c:valAx>
    </c:plotArea>
    <c:legend>
      <c:legendPos val="r"/>
      <c:layout>
        <c:manualLayout>
          <c:xMode val="edge"/>
          <c:yMode val="edge"/>
          <c:x val="0.35130698940410277"/>
          <c:y val="2.0252700970518219E-3"/>
          <c:w val="0.62402239071967869"/>
          <c:h val="0.20400861577085472"/>
        </c:manualLayout>
      </c:layout>
      <c:spPr>
        <a:solidFill>
          <a:schemeClr val="tx2">
            <a:lumMod val="20000"/>
            <a:lumOff val="80000"/>
          </a:schemeClr>
        </a:solidFill>
      </c:sp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0.81394</cdr:x>
      <cdr:y>0</cdr:y>
    </cdr:from>
    <cdr:to>
      <cdr:x>0.81415</cdr:x>
      <cdr:y>0.11236</cdr:y>
    </cdr:to>
    <cdr:sp macro="" textlink="">
      <cdr:nvSpPr>
        <cdr:cNvPr id="3" name="Tiesioji rodyklės jungtis 2"/>
        <cdr:cNvSpPr/>
      </cdr:nvSpPr>
      <cdr:spPr>
        <a:xfrm xmlns:a="http://schemas.openxmlformats.org/drawingml/2006/main" rot="5400000">
          <a:off x="5684799" y="114301"/>
          <a:ext cx="230099" cy="1497"/>
        </a:xfrm>
        <a:prstGeom xmlns:a="http://schemas.openxmlformats.org/drawingml/2006/main" prst="straightConnector1">
          <a:avLst/>
        </a:prstGeom>
        <a:ln xmlns:a="http://schemas.openxmlformats.org/drawingml/2006/main" w="19050">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0.53077</cdr:x>
      <cdr:y>0.03202</cdr:y>
    </cdr:from>
    <cdr:to>
      <cdr:x>0.53098</cdr:x>
      <cdr:y>0.14437</cdr:y>
    </cdr:to>
    <cdr:sp macro="" textlink="">
      <cdr:nvSpPr>
        <cdr:cNvPr id="4" name="Tiesioji rodyklės jungtis 3"/>
        <cdr:cNvSpPr/>
      </cdr:nvSpPr>
      <cdr:spPr>
        <a:xfrm xmlns:a="http://schemas.openxmlformats.org/drawingml/2006/main" rot="5400000">
          <a:off x="3667285" y="179872"/>
          <a:ext cx="230079" cy="1496"/>
        </a:xfrm>
        <a:prstGeom xmlns:a="http://schemas.openxmlformats.org/drawingml/2006/main" prst="straightConnector1">
          <a:avLst/>
        </a:prstGeom>
        <a:noFill xmlns:a="http://schemas.openxmlformats.org/drawingml/2006/main"/>
        <a:ln xmlns:a="http://schemas.openxmlformats.org/drawingml/2006/main" w="19050"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3951</Words>
  <Characters>2253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2018-01-22T12:13:00Z</dcterms:created>
  <dcterms:modified xsi:type="dcterms:W3CDTF">2018-01-23T14:39:00Z</dcterms:modified>
</cp:coreProperties>
</file>