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3.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2F4" w:rsidRPr="00A629ED" w:rsidRDefault="002E52F4" w:rsidP="006E4F72">
      <w:pPr>
        <w:pStyle w:val="Default"/>
        <w:spacing w:line="360" w:lineRule="auto"/>
        <w:jc w:val="center"/>
        <w:rPr>
          <w:rFonts w:ascii="Times New Roman" w:hAnsi="Times New Roman" w:cs="Times New Roman"/>
          <w:b/>
          <w:sz w:val="28"/>
          <w:szCs w:val="23"/>
        </w:rPr>
      </w:pPr>
      <w:bookmarkStart w:id="0" w:name="_GoBack"/>
      <w:bookmarkEnd w:id="0"/>
      <w:r w:rsidRPr="00A629ED">
        <w:rPr>
          <w:rFonts w:ascii="Times New Roman" w:hAnsi="Times New Roman" w:cs="Times New Roman"/>
          <w:b/>
          <w:sz w:val="28"/>
          <w:szCs w:val="23"/>
        </w:rPr>
        <w:t>VAIKŲ SVEIKATOS PAŽYMĖJIMŲ PATEIKIMO APŽVALGA</w:t>
      </w:r>
    </w:p>
    <w:p w:rsidR="002E52F4" w:rsidRDefault="002E52F4" w:rsidP="006E4F72">
      <w:pPr>
        <w:pStyle w:val="Default"/>
        <w:spacing w:line="360" w:lineRule="auto"/>
        <w:jc w:val="both"/>
        <w:rPr>
          <w:rFonts w:ascii="Times New Roman" w:hAnsi="Times New Roman" w:cs="Times New Roman"/>
          <w:szCs w:val="23"/>
        </w:rPr>
      </w:pPr>
    </w:p>
    <w:p w:rsidR="002E52F4" w:rsidRPr="002E52F4" w:rsidRDefault="002E52F4" w:rsidP="006E4F72">
      <w:pPr>
        <w:pStyle w:val="Default"/>
        <w:tabs>
          <w:tab w:val="left" w:pos="851"/>
        </w:tabs>
        <w:spacing w:line="360" w:lineRule="auto"/>
        <w:jc w:val="both"/>
        <w:rPr>
          <w:rFonts w:ascii="Times New Roman" w:hAnsi="Times New Roman" w:cs="Times New Roman"/>
          <w:szCs w:val="23"/>
        </w:rPr>
      </w:pPr>
      <w:r>
        <w:rPr>
          <w:rFonts w:ascii="Times New Roman" w:hAnsi="Times New Roman" w:cs="Times New Roman"/>
          <w:szCs w:val="23"/>
        </w:rPr>
        <w:tab/>
      </w:r>
      <w:r w:rsidRPr="002E52F4">
        <w:rPr>
          <w:rFonts w:ascii="Times New Roman" w:hAnsi="Times New Roman" w:cs="Times New Roman"/>
          <w:szCs w:val="23"/>
        </w:rPr>
        <w:t xml:space="preserve">Vaiko sveikatos pažymėjimą sudaro dvi dalys: I dalis „Fizinės būklės įvertinimas“ – pildoma šeimos ar vaikų ligų gydytojo, II dalis „Dantų ir žandikaulių būklės įvertinimas“ – pildoma gydytojo odontologo.  Vaiko sveikatos pažymėjimą gydytojas specialistas gali pradėti pildyti nuo pirmos arba nuo antros pažymėjimo dalies. </w:t>
      </w:r>
    </w:p>
    <w:p w:rsidR="002E52F4" w:rsidRDefault="002E52F4" w:rsidP="006E4F72">
      <w:pPr>
        <w:tabs>
          <w:tab w:val="left" w:pos="851"/>
        </w:tabs>
        <w:spacing w:after="0" w:line="360" w:lineRule="auto"/>
        <w:jc w:val="both"/>
        <w:rPr>
          <w:rFonts w:ascii="Times New Roman" w:hAnsi="Times New Roman" w:cs="Times New Roman"/>
          <w:sz w:val="24"/>
          <w:szCs w:val="23"/>
        </w:rPr>
      </w:pPr>
      <w:r>
        <w:rPr>
          <w:rFonts w:ascii="Times New Roman" w:hAnsi="Times New Roman" w:cs="Times New Roman"/>
          <w:sz w:val="24"/>
          <w:szCs w:val="23"/>
        </w:rPr>
        <w:tab/>
      </w:r>
      <w:r w:rsidRPr="002E52F4">
        <w:rPr>
          <w:rFonts w:ascii="Times New Roman" w:hAnsi="Times New Roman" w:cs="Times New Roman"/>
          <w:sz w:val="24"/>
          <w:szCs w:val="23"/>
        </w:rPr>
        <w:t xml:space="preserve">2018 metais </w:t>
      </w:r>
      <w:r>
        <w:rPr>
          <w:rFonts w:ascii="Times New Roman" w:hAnsi="Times New Roman" w:cs="Times New Roman"/>
          <w:sz w:val="24"/>
          <w:szCs w:val="23"/>
        </w:rPr>
        <w:t xml:space="preserve">Raseinių rajono </w:t>
      </w:r>
      <w:r w:rsidRPr="002E52F4">
        <w:rPr>
          <w:rFonts w:ascii="Times New Roman" w:hAnsi="Times New Roman" w:cs="Times New Roman"/>
          <w:sz w:val="24"/>
          <w:szCs w:val="23"/>
        </w:rPr>
        <w:t xml:space="preserve">ugdymo įstaigas lankė </w:t>
      </w:r>
      <w:r w:rsidR="00BC5BA0">
        <w:rPr>
          <w:rFonts w:ascii="Times New Roman" w:hAnsi="Times New Roman" w:cs="Times New Roman"/>
          <w:sz w:val="24"/>
          <w:szCs w:val="23"/>
        </w:rPr>
        <w:t>3432</w:t>
      </w:r>
      <w:r w:rsidRPr="002E52F4">
        <w:rPr>
          <w:rFonts w:ascii="Times New Roman" w:hAnsi="Times New Roman" w:cs="Times New Roman"/>
          <w:sz w:val="24"/>
          <w:szCs w:val="23"/>
        </w:rPr>
        <w:t xml:space="preserve"> vaik</w:t>
      </w:r>
      <w:r w:rsidR="00EE1AA8">
        <w:rPr>
          <w:rFonts w:ascii="Times New Roman" w:hAnsi="Times New Roman" w:cs="Times New Roman"/>
          <w:sz w:val="24"/>
          <w:szCs w:val="23"/>
        </w:rPr>
        <w:t>ai</w:t>
      </w:r>
      <w:r w:rsidRPr="002E52F4">
        <w:rPr>
          <w:rFonts w:ascii="Times New Roman" w:hAnsi="Times New Roman" w:cs="Times New Roman"/>
          <w:sz w:val="24"/>
          <w:szCs w:val="23"/>
        </w:rPr>
        <w:t>, kuriems profilaktinio sveikatos patikrinimo metu buvo užpildytas Vaiko sveikatos pažymėjimas. Tai sudarė 9</w:t>
      </w:r>
      <w:r w:rsidR="00E17DAD">
        <w:rPr>
          <w:rFonts w:ascii="Times New Roman" w:hAnsi="Times New Roman" w:cs="Times New Roman"/>
          <w:sz w:val="24"/>
          <w:szCs w:val="23"/>
        </w:rPr>
        <w:t>7</w:t>
      </w:r>
      <w:r w:rsidRPr="002E52F4">
        <w:rPr>
          <w:rFonts w:ascii="Times New Roman" w:hAnsi="Times New Roman" w:cs="Times New Roman"/>
          <w:sz w:val="24"/>
          <w:szCs w:val="23"/>
        </w:rPr>
        <w:t>,</w:t>
      </w:r>
      <w:r w:rsidR="00E17DAD">
        <w:rPr>
          <w:rFonts w:ascii="Times New Roman" w:hAnsi="Times New Roman" w:cs="Times New Roman"/>
          <w:sz w:val="24"/>
          <w:szCs w:val="23"/>
        </w:rPr>
        <w:t>6</w:t>
      </w:r>
      <w:r w:rsidRPr="002E52F4">
        <w:rPr>
          <w:rFonts w:ascii="Times New Roman" w:hAnsi="Times New Roman" w:cs="Times New Roman"/>
          <w:sz w:val="24"/>
          <w:szCs w:val="23"/>
        </w:rPr>
        <w:t xml:space="preserve"> </w:t>
      </w:r>
      <w:r w:rsidR="00CE0F2B">
        <w:rPr>
          <w:rFonts w:ascii="Times New Roman" w:hAnsi="Times New Roman" w:cs="Times New Roman"/>
          <w:sz w:val="24"/>
          <w:szCs w:val="23"/>
        </w:rPr>
        <w:t>proc.</w:t>
      </w:r>
      <w:r w:rsidRPr="002E52F4">
        <w:rPr>
          <w:rFonts w:ascii="Times New Roman" w:hAnsi="Times New Roman" w:cs="Times New Roman"/>
          <w:sz w:val="24"/>
          <w:szCs w:val="23"/>
        </w:rPr>
        <w:t xml:space="preserve"> </w:t>
      </w:r>
      <w:r w:rsidR="00E17DAD">
        <w:rPr>
          <w:rFonts w:ascii="Times New Roman" w:hAnsi="Times New Roman" w:cs="Times New Roman"/>
          <w:sz w:val="24"/>
          <w:szCs w:val="23"/>
        </w:rPr>
        <w:t>rajono</w:t>
      </w:r>
      <w:r w:rsidRPr="002E52F4">
        <w:rPr>
          <w:rFonts w:ascii="Times New Roman" w:hAnsi="Times New Roman" w:cs="Times New Roman"/>
          <w:sz w:val="24"/>
          <w:szCs w:val="23"/>
        </w:rPr>
        <w:t xml:space="preserve"> 7–17 m. amžiaus mokinių. Vertinant </w:t>
      </w:r>
      <w:r w:rsidR="00E17DAD">
        <w:rPr>
          <w:rFonts w:ascii="Times New Roman" w:hAnsi="Times New Roman" w:cs="Times New Roman"/>
          <w:sz w:val="24"/>
          <w:szCs w:val="23"/>
        </w:rPr>
        <w:t>rajono</w:t>
      </w:r>
      <w:r w:rsidRPr="002E52F4">
        <w:rPr>
          <w:rFonts w:ascii="Times New Roman" w:hAnsi="Times New Roman" w:cs="Times New Roman"/>
          <w:sz w:val="24"/>
          <w:szCs w:val="23"/>
        </w:rPr>
        <w:t xml:space="preserve"> mastu, Vaiko sveikatos pažymėjimų 7–17 m. vaikų amžiaus grupėje 2018 m. VSS IS sukaupta </w:t>
      </w:r>
      <w:r w:rsidR="00E17DAD">
        <w:rPr>
          <w:rFonts w:ascii="Times New Roman" w:hAnsi="Times New Roman" w:cs="Times New Roman"/>
          <w:sz w:val="24"/>
          <w:szCs w:val="23"/>
        </w:rPr>
        <w:t>-1</w:t>
      </w:r>
      <w:r w:rsidRPr="002E52F4">
        <w:rPr>
          <w:rFonts w:ascii="Times New Roman" w:hAnsi="Times New Roman" w:cs="Times New Roman"/>
          <w:sz w:val="24"/>
          <w:szCs w:val="23"/>
        </w:rPr>
        <w:t xml:space="preserve">,6 </w:t>
      </w:r>
      <w:r w:rsidR="00CE0F2B">
        <w:rPr>
          <w:rFonts w:ascii="Times New Roman" w:hAnsi="Times New Roman" w:cs="Times New Roman"/>
          <w:sz w:val="24"/>
          <w:szCs w:val="23"/>
        </w:rPr>
        <w:t>proc.</w:t>
      </w:r>
      <w:r w:rsidRPr="002E52F4">
        <w:rPr>
          <w:rFonts w:ascii="Times New Roman" w:hAnsi="Times New Roman" w:cs="Times New Roman"/>
          <w:sz w:val="24"/>
          <w:szCs w:val="23"/>
        </w:rPr>
        <w:t xml:space="preserve"> </w:t>
      </w:r>
      <w:r w:rsidR="00E17DAD">
        <w:rPr>
          <w:rFonts w:ascii="Times New Roman" w:hAnsi="Times New Roman" w:cs="Times New Roman"/>
          <w:sz w:val="24"/>
          <w:szCs w:val="23"/>
        </w:rPr>
        <w:t>maži</w:t>
      </w:r>
      <w:r w:rsidRPr="002E52F4">
        <w:rPr>
          <w:rFonts w:ascii="Times New Roman" w:hAnsi="Times New Roman" w:cs="Times New Roman"/>
          <w:sz w:val="24"/>
          <w:szCs w:val="23"/>
        </w:rPr>
        <w:t xml:space="preserve">au, palyginus su 2017 m., ir </w:t>
      </w:r>
      <w:r w:rsidR="00E17DAD">
        <w:rPr>
          <w:rFonts w:ascii="Times New Roman" w:hAnsi="Times New Roman" w:cs="Times New Roman"/>
          <w:sz w:val="24"/>
          <w:szCs w:val="23"/>
        </w:rPr>
        <w:t>1,2</w:t>
      </w:r>
      <w:r w:rsidRPr="002E52F4">
        <w:rPr>
          <w:rFonts w:ascii="Times New Roman" w:hAnsi="Times New Roman" w:cs="Times New Roman"/>
          <w:sz w:val="24"/>
          <w:szCs w:val="23"/>
        </w:rPr>
        <w:t xml:space="preserve"> </w:t>
      </w:r>
      <w:r w:rsidR="00CE0F2B">
        <w:rPr>
          <w:rFonts w:ascii="Times New Roman" w:hAnsi="Times New Roman" w:cs="Times New Roman"/>
          <w:sz w:val="24"/>
          <w:szCs w:val="23"/>
        </w:rPr>
        <w:t>proc.</w:t>
      </w:r>
      <w:r w:rsidRPr="002E52F4">
        <w:rPr>
          <w:rFonts w:ascii="Times New Roman" w:hAnsi="Times New Roman" w:cs="Times New Roman"/>
          <w:sz w:val="24"/>
          <w:szCs w:val="23"/>
        </w:rPr>
        <w:t xml:space="preserve"> daugiau, palyginus su 2016 m. (1 pav.).</w:t>
      </w:r>
    </w:p>
    <w:p w:rsidR="00E17DAD" w:rsidRDefault="00E17DAD" w:rsidP="006E4F72">
      <w:pPr>
        <w:tabs>
          <w:tab w:val="left" w:pos="851"/>
        </w:tabs>
        <w:spacing w:after="0" w:line="360" w:lineRule="auto"/>
        <w:jc w:val="center"/>
        <w:rPr>
          <w:rFonts w:ascii="Times New Roman" w:hAnsi="Times New Roman" w:cs="Times New Roman"/>
          <w:b/>
          <w:sz w:val="36"/>
          <w:lang w:val="en-US"/>
        </w:rPr>
      </w:pPr>
      <w:r>
        <w:rPr>
          <w:rFonts w:ascii="Times New Roman" w:hAnsi="Times New Roman" w:cs="Times New Roman"/>
          <w:b/>
          <w:noProof/>
          <w:sz w:val="36"/>
          <w:lang w:eastAsia="lt-LT"/>
        </w:rPr>
        <w:drawing>
          <wp:inline distT="0" distB="0" distL="0" distR="0">
            <wp:extent cx="5753818" cy="1155940"/>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1523E" w:rsidRPr="0091523E" w:rsidRDefault="0091523E" w:rsidP="006E4F72">
      <w:pPr>
        <w:tabs>
          <w:tab w:val="left" w:pos="851"/>
        </w:tabs>
        <w:spacing w:after="0" w:line="360" w:lineRule="auto"/>
        <w:jc w:val="center"/>
        <w:rPr>
          <w:rFonts w:ascii="Times New Roman" w:hAnsi="Times New Roman" w:cs="Times New Roman"/>
          <w:lang w:val="en-US"/>
        </w:rPr>
      </w:pPr>
      <w:r w:rsidRPr="0091523E">
        <w:rPr>
          <w:rFonts w:ascii="Times New Roman" w:hAnsi="Times New Roman" w:cs="Times New Roman"/>
          <w:lang w:val="en-US"/>
        </w:rPr>
        <w:t>1 pav.</w:t>
      </w:r>
      <w:r>
        <w:rPr>
          <w:rFonts w:ascii="Times New Roman" w:hAnsi="Times New Roman" w:cs="Times New Roman"/>
          <w:b/>
          <w:lang w:val="en-US"/>
        </w:rPr>
        <w:t xml:space="preserve"> </w:t>
      </w:r>
      <w:r w:rsidRPr="0091523E">
        <w:rPr>
          <w:rFonts w:ascii="Times New Roman" w:hAnsi="Times New Roman" w:cs="Times New Roman"/>
          <w:b/>
          <w:lang w:val="en-US"/>
        </w:rPr>
        <w:t>7-17 m. amžiaus vaikų pateiktų Vaiko sveikatos pažymėjim</w:t>
      </w:r>
      <w:r w:rsidR="009B2288">
        <w:rPr>
          <w:rFonts w:ascii="Times New Roman" w:hAnsi="Times New Roman" w:cs="Times New Roman"/>
          <w:b/>
          <w:lang w:val="en-US"/>
        </w:rPr>
        <w:t>ų</w:t>
      </w:r>
      <w:r w:rsidRPr="0091523E">
        <w:rPr>
          <w:rFonts w:ascii="Times New Roman" w:hAnsi="Times New Roman" w:cs="Times New Roman"/>
          <w:b/>
          <w:lang w:val="en-US"/>
        </w:rPr>
        <w:t xml:space="preserve"> dalis procentais 2016-2018 m.</w:t>
      </w:r>
    </w:p>
    <w:p w:rsidR="00A629ED" w:rsidRDefault="00A629ED" w:rsidP="006E4F72">
      <w:pPr>
        <w:spacing w:after="0" w:line="360" w:lineRule="auto"/>
        <w:jc w:val="center"/>
        <w:rPr>
          <w:rFonts w:ascii="Times New Roman" w:hAnsi="Times New Roman" w:cs="Times New Roman"/>
          <w:b/>
          <w:sz w:val="28"/>
          <w:lang w:val="en-US"/>
        </w:rPr>
      </w:pPr>
    </w:p>
    <w:p w:rsidR="002E52F4" w:rsidRDefault="00A629ED" w:rsidP="006E4F72">
      <w:pPr>
        <w:spacing w:line="360" w:lineRule="auto"/>
        <w:jc w:val="center"/>
        <w:rPr>
          <w:rFonts w:ascii="Times New Roman" w:hAnsi="Times New Roman" w:cs="Times New Roman"/>
          <w:b/>
          <w:sz w:val="28"/>
          <w:lang w:val="en-US"/>
        </w:rPr>
      </w:pPr>
      <w:r>
        <w:rPr>
          <w:rFonts w:ascii="Times New Roman" w:hAnsi="Times New Roman" w:cs="Times New Roman"/>
          <w:b/>
          <w:sz w:val="28"/>
          <w:lang w:val="en-US"/>
        </w:rPr>
        <w:t>VAIKŲ KŪNO MASĖS INDEKSO ĮVERTINIMO APŽVALGA</w:t>
      </w:r>
    </w:p>
    <w:p w:rsidR="00A629ED" w:rsidRPr="00A629ED" w:rsidRDefault="00BC5BA0" w:rsidP="006E4F72">
      <w:pPr>
        <w:pStyle w:val="Default"/>
        <w:tabs>
          <w:tab w:val="left" w:pos="851"/>
        </w:tabs>
        <w:spacing w:line="360" w:lineRule="auto"/>
        <w:jc w:val="both"/>
        <w:rPr>
          <w:rFonts w:ascii="Times New Roman" w:hAnsi="Times New Roman" w:cs="Times New Roman"/>
          <w:szCs w:val="23"/>
        </w:rPr>
      </w:pPr>
      <w:r>
        <w:rPr>
          <w:rFonts w:ascii="Times New Roman" w:hAnsi="Times New Roman" w:cs="Times New Roman"/>
          <w:szCs w:val="23"/>
        </w:rPr>
        <w:tab/>
      </w:r>
      <w:r w:rsidR="00A629ED" w:rsidRPr="00A629ED">
        <w:rPr>
          <w:rFonts w:ascii="Times New Roman" w:hAnsi="Times New Roman" w:cs="Times New Roman"/>
          <w:szCs w:val="23"/>
        </w:rPr>
        <w:t xml:space="preserve">Profilaktinio sveikatos patikrinimo metu šeimos ar vaikų ligų gydytojas išmatuoja vaiko ūgį, svorį, rezultatus įrašo į Vaiko sveikatos pažymėjimą, apskaičiuoja kūno masės indekso (toliau – KMI) skaitinę reikšmę ir pažymi vieną iš KMI vertinimo reikšmių: normalus svoris, per mažas svoris, antsvoris, nutukimas. </w:t>
      </w:r>
    </w:p>
    <w:p w:rsidR="00A629ED" w:rsidRDefault="00BC5BA0" w:rsidP="006E4F72">
      <w:pPr>
        <w:pStyle w:val="Default"/>
        <w:tabs>
          <w:tab w:val="left" w:pos="851"/>
        </w:tabs>
        <w:spacing w:line="360" w:lineRule="auto"/>
        <w:jc w:val="both"/>
        <w:rPr>
          <w:rFonts w:ascii="Times New Roman" w:hAnsi="Times New Roman" w:cs="Times New Roman"/>
          <w:szCs w:val="23"/>
        </w:rPr>
      </w:pPr>
      <w:r>
        <w:rPr>
          <w:rFonts w:ascii="Times New Roman" w:hAnsi="Times New Roman" w:cs="Times New Roman"/>
          <w:szCs w:val="23"/>
        </w:rPr>
        <w:tab/>
      </w:r>
      <w:r w:rsidR="00A629ED" w:rsidRPr="00A629ED">
        <w:rPr>
          <w:rFonts w:ascii="Times New Roman" w:hAnsi="Times New Roman" w:cs="Times New Roman"/>
          <w:szCs w:val="23"/>
        </w:rPr>
        <w:t>Sveikatos apsaugos ministras įsakymu patvirtino vaikams pritaikytas KMI vertinimo ribas, kurios nustatytos kovos su nutukimu darbo grupės (IOTF) ir mūsų šalyje įsigalio</w:t>
      </w:r>
      <w:r w:rsidR="00BF1065">
        <w:rPr>
          <w:rFonts w:ascii="Times New Roman" w:hAnsi="Times New Roman" w:cs="Times New Roman"/>
          <w:szCs w:val="23"/>
        </w:rPr>
        <w:t>jo</w:t>
      </w:r>
      <w:r w:rsidR="00A629ED" w:rsidRPr="00A629ED">
        <w:rPr>
          <w:rFonts w:ascii="Times New Roman" w:hAnsi="Times New Roman" w:cs="Times New Roman"/>
          <w:szCs w:val="23"/>
        </w:rPr>
        <w:t xml:space="preserve"> nuo </w:t>
      </w:r>
      <w:r w:rsidR="00BF1065">
        <w:rPr>
          <w:rFonts w:ascii="Times New Roman" w:hAnsi="Times New Roman" w:cs="Times New Roman"/>
          <w:szCs w:val="23"/>
        </w:rPr>
        <w:t>šių</w:t>
      </w:r>
      <w:r w:rsidR="00A629ED" w:rsidRPr="00A629ED">
        <w:rPr>
          <w:rFonts w:ascii="Times New Roman" w:hAnsi="Times New Roman" w:cs="Times New Roman"/>
          <w:szCs w:val="23"/>
        </w:rPr>
        <w:t xml:space="preserve"> metų. Šios KMI vertinimo ribos parengtos mergaitėms ir berniukams atskirai nuo 2 iki 18 m. amžiaus. Reikšmės nurodytos pagal vaiko amžių kas vieną mėnesį. Jas galima rasti Vaiko sveikatos pažymėjimo pildymo taisyklėse, patvirtintose sveikatos apsaugos ministro 2004-12-24 įsakymu Nr. V-951, įsakymo redakcija 2019-05-14 Nr. V-565. Nuo 2020 metų sausio 1 d. profilaktinio v</w:t>
      </w:r>
      <w:r w:rsidR="00BF1065">
        <w:rPr>
          <w:rFonts w:ascii="Times New Roman" w:hAnsi="Times New Roman" w:cs="Times New Roman"/>
          <w:szCs w:val="23"/>
        </w:rPr>
        <w:t xml:space="preserve">aiko sveikatos patikrinimo metu </w:t>
      </w:r>
      <w:r w:rsidR="00A629ED" w:rsidRPr="00A629ED">
        <w:rPr>
          <w:rFonts w:ascii="Times New Roman" w:hAnsi="Times New Roman" w:cs="Times New Roman"/>
          <w:szCs w:val="23"/>
        </w:rPr>
        <w:t>gydytojas specialistas, naudodamasis šiomis KMI vertinimo ribomis, atsižvelgęs į vaiko amžių bei lytį, įvertin</w:t>
      </w:r>
      <w:r w:rsidR="00BF1065">
        <w:rPr>
          <w:rFonts w:ascii="Times New Roman" w:hAnsi="Times New Roman" w:cs="Times New Roman"/>
          <w:szCs w:val="23"/>
        </w:rPr>
        <w:t>a</w:t>
      </w:r>
      <w:r w:rsidR="00A629ED" w:rsidRPr="00A629ED">
        <w:rPr>
          <w:rFonts w:ascii="Times New Roman" w:hAnsi="Times New Roman" w:cs="Times New Roman"/>
          <w:szCs w:val="23"/>
        </w:rPr>
        <w:t xml:space="preserve"> KMI pagal vaikams pritaikytas ribines KMI vertinimo reikšmes. </w:t>
      </w:r>
    </w:p>
    <w:p w:rsidR="00A629ED" w:rsidRPr="00A629ED" w:rsidRDefault="001C70D0" w:rsidP="006E4F72">
      <w:pPr>
        <w:tabs>
          <w:tab w:val="left" w:pos="851"/>
        </w:tabs>
        <w:spacing w:line="360" w:lineRule="auto"/>
        <w:jc w:val="both"/>
        <w:rPr>
          <w:rFonts w:ascii="Times New Roman" w:hAnsi="Times New Roman" w:cs="Times New Roman"/>
          <w:b/>
          <w:sz w:val="32"/>
          <w:lang w:val="en-US"/>
        </w:rPr>
      </w:pPr>
      <w:r>
        <w:rPr>
          <w:rFonts w:ascii="Times New Roman" w:hAnsi="Times New Roman" w:cs="Times New Roman"/>
          <w:sz w:val="24"/>
          <w:szCs w:val="23"/>
        </w:rPr>
        <w:lastRenderedPageBreak/>
        <w:tab/>
      </w:r>
      <w:r w:rsidR="00A629ED" w:rsidRPr="00A629ED">
        <w:rPr>
          <w:rFonts w:ascii="Times New Roman" w:hAnsi="Times New Roman" w:cs="Times New Roman"/>
          <w:sz w:val="24"/>
          <w:szCs w:val="23"/>
        </w:rPr>
        <w:t xml:space="preserve">Remiantis VSS IS duomenimis, 2018 m. </w:t>
      </w:r>
      <w:r w:rsidR="00BC5BA0">
        <w:rPr>
          <w:rFonts w:ascii="Times New Roman" w:hAnsi="Times New Roman" w:cs="Times New Roman"/>
          <w:sz w:val="24"/>
          <w:szCs w:val="23"/>
        </w:rPr>
        <w:t xml:space="preserve"> Raseinių rajono </w:t>
      </w:r>
      <w:r w:rsidR="00A629ED" w:rsidRPr="00A629ED">
        <w:rPr>
          <w:rFonts w:ascii="Times New Roman" w:hAnsi="Times New Roman" w:cs="Times New Roman"/>
          <w:sz w:val="24"/>
          <w:szCs w:val="23"/>
        </w:rPr>
        <w:t xml:space="preserve">ugdymo įstaigas lankė </w:t>
      </w:r>
      <w:r w:rsidR="00BC5BA0">
        <w:rPr>
          <w:rFonts w:ascii="Times New Roman" w:hAnsi="Times New Roman" w:cs="Times New Roman"/>
          <w:sz w:val="24"/>
          <w:szCs w:val="23"/>
        </w:rPr>
        <w:t>3</w:t>
      </w:r>
      <w:r w:rsidR="00CA420A">
        <w:rPr>
          <w:rFonts w:ascii="Times New Roman" w:hAnsi="Times New Roman" w:cs="Times New Roman"/>
          <w:sz w:val="24"/>
          <w:szCs w:val="23"/>
        </w:rPr>
        <w:t>085</w:t>
      </w:r>
      <w:r w:rsidR="00A629ED" w:rsidRPr="00A629ED">
        <w:rPr>
          <w:rFonts w:ascii="Times New Roman" w:hAnsi="Times New Roman" w:cs="Times New Roman"/>
          <w:sz w:val="24"/>
          <w:szCs w:val="23"/>
        </w:rPr>
        <w:t xml:space="preserve"> vaik</w:t>
      </w:r>
      <w:r w:rsidR="00CA420A">
        <w:rPr>
          <w:rFonts w:ascii="Times New Roman" w:hAnsi="Times New Roman" w:cs="Times New Roman"/>
          <w:sz w:val="24"/>
          <w:szCs w:val="23"/>
        </w:rPr>
        <w:t>ai</w:t>
      </w:r>
      <w:r w:rsidR="00A629ED" w:rsidRPr="00A629ED">
        <w:rPr>
          <w:rFonts w:ascii="Times New Roman" w:hAnsi="Times New Roman" w:cs="Times New Roman"/>
          <w:sz w:val="24"/>
          <w:szCs w:val="23"/>
        </w:rPr>
        <w:t>, pasitikrinę sveikatą,</w:t>
      </w:r>
      <w:r w:rsidR="00CA420A">
        <w:rPr>
          <w:rFonts w:ascii="Times New Roman" w:hAnsi="Times New Roman" w:cs="Times New Roman"/>
          <w:sz w:val="24"/>
          <w:szCs w:val="23"/>
        </w:rPr>
        <w:t xml:space="preserve"> kuriems įvertintas KMI. </w:t>
      </w:r>
      <w:r w:rsidR="00A629ED" w:rsidRPr="00A629ED">
        <w:rPr>
          <w:rFonts w:ascii="Times New Roman" w:hAnsi="Times New Roman" w:cs="Times New Roman"/>
          <w:sz w:val="24"/>
          <w:szCs w:val="23"/>
        </w:rPr>
        <w:t>2018 m. penktadalis (2</w:t>
      </w:r>
      <w:r w:rsidR="00CA420A">
        <w:rPr>
          <w:rFonts w:ascii="Times New Roman" w:hAnsi="Times New Roman" w:cs="Times New Roman"/>
          <w:sz w:val="24"/>
          <w:szCs w:val="23"/>
        </w:rPr>
        <w:t>2</w:t>
      </w:r>
      <w:r w:rsidR="00A629ED" w:rsidRPr="00A629ED">
        <w:rPr>
          <w:rFonts w:ascii="Times New Roman" w:hAnsi="Times New Roman" w:cs="Times New Roman"/>
          <w:sz w:val="24"/>
          <w:szCs w:val="23"/>
        </w:rPr>
        <w:t>,</w:t>
      </w:r>
      <w:r w:rsidR="00CA420A">
        <w:rPr>
          <w:rFonts w:ascii="Times New Roman" w:hAnsi="Times New Roman" w:cs="Times New Roman"/>
          <w:sz w:val="24"/>
          <w:szCs w:val="23"/>
        </w:rPr>
        <w:t>4</w:t>
      </w:r>
      <w:r w:rsidR="00A629ED" w:rsidRPr="00A629ED">
        <w:rPr>
          <w:rFonts w:ascii="Times New Roman" w:hAnsi="Times New Roman" w:cs="Times New Roman"/>
          <w:sz w:val="24"/>
          <w:szCs w:val="23"/>
        </w:rPr>
        <w:t xml:space="preserve"> </w:t>
      </w:r>
      <w:r w:rsidR="00CE0F2B">
        <w:rPr>
          <w:rFonts w:ascii="Times New Roman" w:hAnsi="Times New Roman" w:cs="Times New Roman"/>
          <w:sz w:val="24"/>
          <w:szCs w:val="23"/>
        </w:rPr>
        <w:t>proc.</w:t>
      </w:r>
      <w:r w:rsidR="00A629ED" w:rsidRPr="00A629ED">
        <w:rPr>
          <w:rFonts w:ascii="Times New Roman" w:hAnsi="Times New Roman" w:cs="Times New Roman"/>
          <w:sz w:val="24"/>
          <w:szCs w:val="23"/>
        </w:rPr>
        <w:t>) 7–17 m. amžiaus vaikų turėjo per didelį svorį. Ši tendencija nuo 2017 metų nepakito.</w:t>
      </w:r>
    </w:p>
    <w:p w:rsidR="002E52F4" w:rsidRDefault="003C0FBE" w:rsidP="006E4F72">
      <w:pPr>
        <w:spacing w:after="0" w:line="360" w:lineRule="auto"/>
        <w:jc w:val="center"/>
        <w:rPr>
          <w:rFonts w:ascii="Arial Black" w:hAnsi="Arial Black" w:cs="Times New Roman"/>
          <w:b/>
          <w:sz w:val="32"/>
          <w:lang w:val="en-US"/>
        </w:rPr>
      </w:pPr>
      <w:r>
        <w:rPr>
          <w:rFonts w:ascii="Arial Black" w:hAnsi="Arial Black" w:cs="Times New Roman"/>
          <w:b/>
          <w:noProof/>
          <w:sz w:val="32"/>
          <w:lang w:eastAsia="lt-LT"/>
        </w:rPr>
        <w:drawing>
          <wp:inline distT="0" distB="0" distL="0" distR="0">
            <wp:extent cx="4822166" cy="1431985"/>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A420A" w:rsidRDefault="00CA420A" w:rsidP="006E4F72">
      <w:pPr>
        <w:tabs>
          <w:tab w:val="left" w:pos="851"/>
        </w:tabs>
        <w:spacing w:line="360" w:lineRule="auto"/>
        <w:jc w:val="center"/>
        <w:rPr>
          <w:rFonts w:ascii="Times New Roman" w:hAnsi="Times New Roman" w:cs="Times New Roman"/>
          <w:b/>
          <w:lang w:val="en-US"/>
        </w:rPr>
      </w:pPr>
      <w:r>
        <w:rPr>
          <w:rFonts w:ascii="Times New Roman" w:hAnsi="Times New Roman" w:cs="Times New Roman"/>
          <w:lang w:val="en-US"/>
        </w:rPr>
        <w:t>2</w:t>
      </w:r>
      <w:r w:rsidRPr="0091523E">
        <w:rPr>
          <w:rFonts w:ascii="Times New Roman" w:hAnsi="Times New Roman" w:cs="Times New Roman"/>
          <w:lang w:val="en-US"/>
        </w:rPr>
        <w:t xml:space="preserve"> pav.</w:t>
      </w:r>
      <w:r>
        <w:rPr>
          <w:rFonts w:ascii="Times New Roman" w:hAnsi="Times New Roman" w:cs="Times New Roman"/>
          <w:b/>
          <w:lang w:val="en-US"/>
        </w:rPr>
        <w:t xml:space="preserve"> 7-17 m. amžiaus vaikų KMI įvertinimas procentais </w:t>
      </w:r>
      <w:r w:rsidRPr="0091523E">
        <w:rPr>
          <w:rFonts w:ascii="Times New Roman" w:hAnsi="Times New Roman" w:cs="Times New Roman"/>
          <w:b/>
          <w:lang w:val="en-US"/>
        </w:rPr>
        <w:t>2018 m.</w:t>
      </w:r>
    </w:p>
    <w:p w:rsidR="00CA420A" w:rsidRPr="00805723" w:rsidRDefault="00805723" w:rsidP="006E4F72">
      <w:pPr>
        <w:tabs>
          <w:tab w:val="left" w:pos="851"/>
        </w:tabs>
        <w:spacing w:line="360" w:lineRule="auto"/>
        <w:jc w:val="both"/>
        <w:rPr>
          <w:rFonts w:ascii="Times New Roman" w:hAnsi="Times New Roman" w:cs="Times New Roman"/>
          <w:b/>
          <w:sz w:val="24"/>
          <w:lang w:val="en-US"/>
        </w:rPr>
      </w:pPr>
      <w:r>
        <w:rPr>
          <w:rFonts w:ascii="Times New Roman" w:hAnsi="Times New Roman" w:cs="Times New Roman"/>
          <w:sz w:val="24"/>
          <w:szCs w:val="23"/>
        </w:rPr>
        <w:tab/>
      </w:r>
      <w:r w:rsidRPr="00805723">
        <w:rPr>
          <w:rFonts w:ascii="Times New Roman" w:hAnsi="Times New Roman" w:cs="Times New Roman"/>
          <w:sz w:val="24"/>
          <w:szCs w:val="23"/>
        </w:rPr>
        <w:t>2018 m. normalų kūno svorį turėjo 6</w:t>
      </w:r>
      <w:r>
        <w:rPr>
          <w:rFonts w:ascii="Times New Roman" w:hAnsi="Times New Roman" w:cs="Times New Roman"/>
          <w:sz w:val="24"/>
          <w:szCs w:val="23"/>
        </w:rPr>
        <w:t>5</w:t>
      </w:r>
      <w:r w:rsidRPr="00805723">
        <w:rPr>
          <w:rFonts w:ascii="Times New Roman" w:hAnsi="Times New Roman" w:cs="Times New Roman"/>
          <w:sz w:val="24"/>
          <w:szCs w:val="23"/>
        </w:rPr>
        <w:t>,</w:t>
      </w:r>
      <w:r>
        <w:rPr>
          <w:rFonts w:ascii="Times New Roman" w:hAnsi="Times New Roman" w:cs="Times New Roman"/>
          <w:sz w:val="24"/>
          <w:szCs w:val="23"/>
        </w:rPr>
        <w:t>8</w:t>
      </w:r>
      <w:r w:rsidRPr="00805723">
        <w:rPr>
          <w:rFonts w:ascii="Times New Roman" w:hAnsi="Times New Roman" w:cs="Times New Roman"/>
          <w:sz w:val="24"/>
          <w:szCs w:val="23"/>
        </w:rPr>
        <w:t xml:space="preserve"> </w:t>
      </w:r>
      <w:r w:rsidR="00CE0F2B">
        <w:rPr>
          <w:rFonts w:ascii="Times New Roman" w:hAnsi="Times New Roman" w:cs="Times New Roman"/>
          <w:sz w:val="24"/>
          <w:szCs w:val="23"/>
        </w:rPr>
        <w:t>proc.</w:t>
      </w:r>
      <w:r w:rsidRPr="00805723">
        <w:rPr>
          <w:rFonts w:ascii="Times New Roman" w:hAnsi="Times New Roman" w:cs="Times New Roman"/>
          <w:sz w:val="24"/>
          <w:szCs w:val="23"/>
        </w:rPr>
        <w:t xml:space="preserve"> vaikų, rodiklis sumažėjo 1,</w:t>
      </w:r>
      <w:r>
        <w:rPr>
          <w:rFonts w:ascii="Times New Roman" w:hAnsi="Times New Roman" w:cs="Times New Roman"/>
          <w:sz w:val="24"/>
          <w:szCs w:val="23"/>
        </w:rPr>
        <w:t>1</w:t>
      </w:r>
      <w:r w:rsidRPr="00805723">
        <w:rPr>
          <w:rFonts w:ascii="Times New Roman" w:hAnsi="Times New Roman" w:cs="Times New Roman"/>
          <w:sz w:val="24"/>
          <w:szCs w:val="23"/>
        </w:rPr>
        <w:t xml:space="preserve"> % palyginus su 2017 m. Per mažas kūno svoris nustatytas 11,</w:t>
      </w:r>
      <w:r>
        <w:rPr>
          <w:rFonts w:ascii="Times New Roman" w:hAnsi="Times New Roman" w:cs="Times New Roman"/>
          <w:sz w:val="24"/>
          <w:szCs w:val="23"/>
        </w:rPr>
        <w:t>8</w:t>
      </w:r>
      <w:r w:rsidRPr="00805723">
        <w:rPr>
          <w:rFonts w:ascii="Times New Roman" w:hAnsi="Times New Roman" w:cs="Times New Roman"/>
          <w:sz w:val="24"/>
          <w:szCs w:val="23"/>
        </w:rPr>
        <w:t xml:space="preserve"> </w:t>
      </w:r>
      <w:r w:rsidR="00CE0F2B">
        <w:rPr>
          <w:rFonts w:ascii="Times New Roman" w:hAnsi="Times New Roman" w:cs="Times New Roman"/>
          <w:sz w:val="24"/>
          <w:szCs w:val="23"/>
        </w:rPr>
        <w:t>proc.</w:t>
      </w:r>
      <w:r w:rsidRPr="00805723">
        <w:rPr>
          <w:rFonts w:ascii="Times New Roman" w:hAnsi="Times New Roman" w:cs="Times New Roman"/>
          <w:sz w:val="24"/>
          <w:szCs w:val="23"/>
        </w:rPr>
        <w:t xml:space="preserve"> vaikų, rodiklis išaugo 1,</w:t>
      </w:r>
      <w:r>
        <w:rPr>
          <w:rFonts w:ascii="Times New Roman" w:hAnsi="Times New Roman" w:cs="Times New Roman"/>
          <w:sz w:val="24"/>
          <w:szCs w:val="23"/>
        </w:rPr>
        <w:t>3</w:t>
      </w:r>
      <w:r w:rsidRPr="00805723">
        <w:rPr>
          <w:rFonts w:ascii="Times New Roman" w:hAnsi="Times New Roman" w:cs="Times New Roman"/>
          <w:sz w:val="24"/>
          <w:szCs w:val="23"/>
        </w:rPr>
        <w:t xml:space="preserve"> </w:t>
      </w:r>
      <w:r w:rsidR="00CE0F2B">
        <w:rPr>
          <w:rFonts w:ascii="Times New Roman" w:hAnsi="Times New Roman" w:cs="Times New Roman"/>
          <w:sz w:val="24"/>
          <w:szCs w:val="23"/>
        </w:rPr>
        <w:t>proc.</w:t>
      </w:r>
      <w:r w:rsidRPr="00805723">
        <w:rPr>
          <w:rFonts w:ascii="Times New Roman" w:hAnsi="Times New Roman" w:cs="Times New Roman"/>
          <w:sz w:val="24"/>
          <w:szCs w:val="23"/>
        </w:rPr>
        <w:t xml:space="preserve"> 2018 m. antsvorį turėjo 15, 7 </w:t>
      </w:r>
      <w:r w:rsidR="00CE0F2B">
        <w:rPr>
          <w:rFonts w:ascii="Times New Roman" w:hAnsi="Times New Roman" w:cs="Times New Roman"/>
          <w:sz w:val="24"/>
          <w:szCs w:val="23"/>
        </w:rPr>
        <w:t>proc.</w:t>
      </w:r>
      <w:r w:rsidRPr="00805723">
        <w:rPr>
          <w:rFonts w:ascii="Times New Roman" w:hAnsi="Times New Roman" w:cs="Times New Roman"/>
          <w:sz w:val="24"/>
          <w:szCs w:val="23"/>
        </w:rPr>
        <w:t xml:space="preserve"> vaikų</w:t>
      </w:r>
      <w:r>
        <w:rPr>
          <w:rFonts w:ascii="Times New Roman" w:hAnsi="Times New Roman" w:cs="Times New Roman"/>
          <w:sz w:val="24"/>
          <w:szCs w:val="23"/>
        </w:rPr>
        <w:t xml:space="preserve">, rodiklis sumažėjo 0,4 </w:t>
      </w:r>
      <w:r w:rsidR="00CE0F2B">
        <w:rPr>
          <w:rFonts w:ascii="Times New Roman" w:hAnsi="Times New Roman" w:cs="Times New Roman"/>
          <w:sz w:val="24"/>
          <w:szCs w:val="23"/>
        </w:rPr>
        <w:t xml:space="preserve">proc. </w:t>
      </w:r>
      <w:r>
        <w:rPr>
          <w:rFonts w:ascii="Times New Roman" w:hAnsi="Times New Roman" w:cs="Times New Roman"/>
          <w:sz w:val="24"/>
          <w:szCs w:val="23"/>
        </w:rPr>
        <w:t>palyginus su 2017 m.</w:t>
      </w:r>
      <w:r w:rsidRPr="00805723">
        <w:rPr>
          <w:rFonts w:ascii="Times New Roman" w:hAnsi="Times New Roman" w:cs="Times New Roman"/>
          <w:sz w:val="24"/>
          <w:szCs w:val="23"/>
        </w:rPr>
        <w:t xml:space="preserve"> </w:t>
      </w:r>
      <w:r>
        <w:rPr>
          <w:rFonts w:ascii="Times New Roman" w:hAnsi="Times New Roman" w:cs="Times New Roman"/>
          <w:sz w:val="24"/>
          <w:szCs w:val="23"/>
        </w:rPr>
        <w:t>0</w:t>
      </w:r>
      <w:r w:rsidRPr="00805723">
        <w:rPr>
          <w:rFonts w:ascii="Times New Roman" w:hAnsi="Times New Roman" w:cs="Times New Roman"/>
          <w:sz w:val="24"/>
          <w:szCs w:val="23"/>
        </w:rPr>
        <w:t xml:space="preserve">,2 </w:t>
      </w:r>
      <w:r w:rsidR="00CE0F2B">
        <w:rPr>
          <w:rFonts w:ascii="Times New Roman" w:hAnsi="Times New Roman" w:cs="Times New Roman"/>
          <w:sz w:val="24"/>
          <w:szCs w:val="23"/>
        </w:rPr>
        <w:t>proc.</w:t>
      </w:r>
      <w:r>
        <w:rPr>
          <w:rFonts w:ascii="Times New Roman" w:hAnsi="Times New Roman" w:cs="Times New Roman"/>
          <w:sz w:val="24"/>
          <w:szCs w:val="23"/>
        </w:rPr>
        <w:t xml:space="preserve"> vaikų</w:t>
      </w:r>
      <w:r w:rsidRPr="00805723">
        <w:rPr>
          <w:rFonts w:ascii="Times New Roman" w:hAnsi="Times New Roman" w:cs="Times New Roman"/>
          <w:sz w:val="24"/>
          <w:szCs w:val="23"/>
        </w:rPr>
        <w:t xml:space="preserve"> buvo nutukę – ši</w:t>
      </w:r>
      <w:r>
        <w:rPr>
          <w:rFonts w:ascii="Times New Roman" w:hAnsi="Times New Roman" w:cs="Times New Roman"/>
          <w:sz w:val="24"/>
          <w:szCs w:val="23"/>
        </w:rPr>
        <w:t>s</w:t>
      </w:r>
      <w:r w:rsidRPr="00805723">
        <w:rPr>
          <w:rFonts w:ascii="Times New Roman" w:hAnsi="Times New Roman" w:cs="Times New Roman"/>
          <w:sz w:val="24"/>
          <w:szCs w:val="23"/>
        </w:rPr>
        <w:t xml:space="preserve"> rodikli</w:t>
      </w:r>
      <w:r>
        <w:rPr>
          <w:rFonts w:ascii="Times New Roman" w:hAnsi="Times New Roman" w:cs="Times New Roman"/>
          <w:sz w:val="24"/>
          <w:szCs w:val="23"/>
        </w:rPr>
        <w:t>s</w:t>
      </w:r>
      <w:r w:rsidRPr="00805723">
        <w:rPr>
          <w:rFonts w:ascii="Times New Roman" w:hAnsi="Times New Roman" w:cs="Times New Roman"/>
          <w:sz w:val="24"/>
          <w:szCs w:val="23"/>
        </w:rPr>
        <w:t xml:space="preserve"> palyginus su 2017 m., kito než</w:t>
      </w:r>
      <w:r>
        <w:rPr>
          <w:rFonts w:ascii="Times New Roman" w:hAnsi="Times New Roman" w:cs="Times New Roman"/>
          <w:sz w:val="24"/>
          <w:szCs w:val="23"/>
        </w:rPr>
        <w:t>ymiai</w:t>
      </w:r>
      <w:r w:rsidRPr="00805723">
        <w:rPr>
          <w:rFonts w:ascii="Times New Roman" w:hAnsi="Times New Roman" w:cs="Times New Roman"/>
          <w:sz w:val="24"/>
          <w:szCs w:val="23"/>
        </w:rPr>
        <w:t xml:space="preserve"> (</w:t>
      </w:r>
      <w:r>
        <w:rPr>
          <w:rFonts w:ascii="Times New Roman" w:hAnsi="Times New Roman" w:cs="Times New Roman"/>
          <w:sz w:val="24"/>
          <w:szCs w:val="23"/>
        </w:rPr>
        <w:t>1</w:t>
      </w:r>
      <w:r w:rsidRPr="00805723">
        <w:rPr>
          <w:rFonts w:ascii="Times New Roman" w:hAnsi="Times New Roman" w:cs="Times New Roman"/>
          <w:sz w:val="24"/>
          <w:szCs w:val="23"/>
        </w:rPr>
        <w:t xml:space="preserve"> lentelė).</w:t>
      </w:r>
    </w:p>
    <w:p w:rsidR="00CA420A" w:rsidRDefault="00CA420A" w:rsidP="006E4F72">
      <w:pPr>
        <w:tabs>
          <w:tab w:val="left" w:pos="851"/>
        </w:tabs>
        <w:spacing w:after="0" w:line="360" w:lineRule="auto"/>
        <w:jc w:val="center"/>
        <w:rPr>
          <w:rFonts w:ascii="Times New Roman" w:hAnsi="Times New Roman" w:cs="Times New Roman"/>
          <w:b/>
          <w:lang w:val="en-US"/>
        </w:rPr>
      </w:pPr>
      <w:r w:rsidRPr="00CA420A">
        <w:rPr>
          <w:rFonts w:ascii="Times New Roman" w:hAnsi="Times New Roman" w:cs="Times New Roman"/>
          <w:lang w:val="en-US"/>
        </w:rPr>
        <w:t>1 lentelė.</w:t>
      </w:r>
      <w:r>
        <w:rPr>
          <w:rFonts w:ascii="Times New Roman" w:hAnsi="Times New Roman" w:cs="Times New Roman"/>
          <w:b/>
          <w:lang w:val="en-US"/>
        </w:rPr>
        <w:t xml:space="preserve"> 2018 m. 7-17 m. amžiaus vaikų KMI įvertintas, pokytis su 2017 m.</w:t>
      </w:r>
    </w:p>
    <w:tbl>
      <w:tblPr>
        <w:tblStyle w:val="viesustinklelis3parykinimas"/>
        <w:tblW w:w="0" w:type="auto"/>
        <w:jc w:val="center"/>
        <w:tblLook w:val="04A0" w:firstRow="1" w:lastRow="0" w:firstColumn="1" w:lastColumn="0" w:noHBand="0" w:noVBand="1"/>
      </w:tblPr>
      <w:tblGrid>
        <w:gridCol w:w="2644"/>
        <w:gridCol w:w="1717"/>
        <w:gridCol w:w="1701"/>
        <w:gridCol w:w="1417"/>
      </w:tblGrid>
      <w:tr w:rsidR="00A9023D" w:rsidTr="008057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4" w:type="dxa"/>
            <w:vAlign w:val="center"/>
          </w:tcPr>
          <w:p w:rsidR="00A9023D" w:rsidRPr="00A9023D" w:rsidRDefault="00A9023D" w:rsidP="002B75A3">
            <w:pPr>
              <w:tabs>
                <w:tab w:val="left" w:pos="851"/>
              </w:tabs>
              <w:rPr>
                <w:rFonts w:ascii="Times New Roman" w:hAnsi="Times New Roman" w:cs="Times New Roman"/>
                <w:lang w:val="en-US"/>
              </w:rPr>
            </w:pPr>
            <w:r w:rsidRPr="00A9023D">
              <w:rPr>
                <w:rFonts w:ascii="Times New Roman" w:hAnsi="Times New Roman" w:cs="Times New Roman"/>
                <w:lang w:val="en-US"/>
              </w:rPr>
              <w:t>KMI įvertinimas</w:t>
            </w:r>
          </w:p>
        </w:tc>
        <w:tc>
          <w:tcPr>
            <w:tcW w:w="1717" w:type="dxa"/>
            <w:vAlign w:val="center"/>
          </w:tcPr>
          <w:p w:rsidR="00A9023D" w:rsidRPr="00A9023D" w:rsidRDefault="00A9023D" w:rsidP="002B75A3">
            <w:pPr>
              <w:tabs>
                <w:tab w:val="left" w:pos="85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A9023D">
              <w:rPr>
                <w:rFonts w:ascii="Times New Roman" w:hAnsi="Times New Roman" w:cs="Times New Roman"/>
                <w:lang w:val="en-US"/>
              </w:rPr>
              <w:t>Abs. sk.</w:t>
            </w:r>
          </w:p>
        </w:tc>
        <w:tc>
          <w:tcPr>
            <w:tcW w:w="1701" w:type="dxa"/>
            <w:vAlign w:val="center"/>
          </w:tcPr>
          <w:p w:rsidR="00A9023D" w:rsidRPr="00A9023D" w:rsidRDefault="00A9023D" w:rsidP="002B75A3">
            <w:pPr>
              <w:tabs>
                <w:tab w:val="left" w:pos="85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A9023D">
              <w:rPr>
                <w:rFonts w:ascii="Times New Roman" w:hAnsi="Times New Roman" w:cs="Times New Roman"/>
                <w:lang w:val="en-US"/>
              </w:rPr>
              <w:t>Proc.</w:t>
            </w:r>
          </w:p>
        </w:tc>
        <w:tc>
          <w:tcPr>
            <w:tcW w:w="1417" w:type="dxa"/>
          </w:tcPr>
          <w:p w:rsidR="00A9023D" w:rsidRPr="00A9023D" w:rsidRDefault="00A9023D" w:rsidP="002B75A3">
            <w:pPr>
              <w:tabs>
                <w:tab w:val="left" w:pos="85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A9023D">
              <w:rPr>
                <w:rFonts w:ascii="Times New Roman" w:hAnsi="Times New Roman" w:cs="Times New Roman"/>
                <w:lang w:val="en-US"/>
              </w:rPr>
              <w:t>Pokytis, palyginus su 2017 m.</w:t>
            </w:r>
          </w:p>
        </w:tc>
      </w:tr>
      <w:tr w:rsidR="00A9023D" w:rsidTr="008057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4" w:type="dxa"/>
          </w:tcPr>
          <w:p w:rsidR="00A9023D" w:rsidRPr="00805723" w:rsidRDefault="00A9023D" w:rsidP="002B75A3">
            <w:pPr>
              <w:tabs>
                <w:tab w:val="left" w:pos="851"/>
              </w:tabs>
              <w:rPr>
                <w:rFonts w:ascii="Times New Roman" w:hAnsi="Times New Roman" w:cs="Times New Roman"/>
                <w:b w:val="0"/>
                <w:lang w:val="en-US"/>
              </w:rPr>
            </w:pPr>
            <w:r w:rsidRPr="00805723">
              <w:rPr>
                <w:rFonts w:ascii="Times New Roman" w:hAnsi="Times New Roman" w:cs="Times New Roman"/>
                <w:b w:val="0"/>
                <w:lang w:val="en-US"/>
              </w:rPr>
              <w:t>Normalus svoris</w:t>
            </w:r>
          </w:p>
        </w:tc>
        <w:tc>
          <w:tcPr>
            <w:tcW w:w="1717" w:type="dxa"/>
          </w:tcPr>
          <w:p w:rsidR="00A9023D" w:rsidRPr="00805723" w:rsidRDefault="00A9023D" w:rsidP="002B75A3">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805723">
              <w:rPr>
                <w:rFonts w:ascii="Times New Roman" w:hAnsi="Times New Roman" w:cs="Times New Roman"/>
                <w:lang w:val="en-US"/>
              </w:rPr>
              <w:t>2029</w:t>
            </w:r>
          </w:p>
        </w:tc>
        <w:tc>
          <w:tcPr>
            <w:tcW w:w="1701" w:type="dxa"/>
          </w:tcPr>
          <w:p w:rsidR="00A9023D" w:rsidRPr="00805723" w:rsidRDefault="00A9023D" w:rsidP="002B75A3">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805723">
              <w:rPr>
                <w:rFonts w:ascii="Times New Roman" w:hAnsi="Times New Roman" w:cs="Times New Roman"/>
                <w:lang w:val="en-US"/>
              </w:rPr>
              <w:t>65,8</w:t>
            </w:r>
          </w:p>
        </w:tc>
        <w:tc>
          <w:tcPr>
            <w:tcW w:w="1417" w:type="dxa"/>
          </w:tcPr>
          <w:p w:rsidR="00A9023D" w:rsidRPr="00805723" w:rsidRDefault="00A9023D" w:rsidP="002B75A3">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805723">
              <w:rPr>
                <w:rFonts w:ascii="Times New Roman" w:hAnsi="Times New Roman" w:cs="Times New Roman"/>
                <w:lang w:val="en-US"/>
              </w:rPr>
              <w:t>-1,1</w:t>
            </w:r>
          </w:p>
        </w:tc>
      </w:tr>
      <w:tr w:rsidR="00A9023D" w:rsidTr="008057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4" w:type="dxa"/>
          </w:tcPr>
          <w:p w:rsidR="00A9023D" w:rsidRPr="00805723" w:rsidRDefault="00A9023D" w:rsidP="002B75A3">
            <w:pPr>
              <w:tabs>
                <w:tab w:val="left" w:pos="851"/>
              </w:tabs>
              <w:rPr>
                <w:rFonts w:ascii="Times New Roman" w:hAnsi="Times New Roman" w:cs="Times New Roman"/>
                <w:b w:val="0"/>
                <w:lang w:val="en-US"/>
              </w:rPr>
            </w:pPr>
            <w:r w:rsidRPr="00805723">
              <w:rPr>
                <w:rFonts w:ascii="Times New Roman" w:hAnsi="Times New Roman" w:cs="Times New Roman"/>
                <w:b w:val="0"/>
                <w:lang w:val="en-US"/>
              </w:rPr>
              <w:t>Antsvoris</w:t>
            </w:r>
          </w:p>
        </w:tc>
        <w:tc>
          <w:tcPr>
            <w:tcW w:w="1717" w:type="dxa"/>
          </w:tcPr>
          <w:p w:rsidR="00A9023D" w:rsidRPr="00805723" w:rsidRDefault="00A9023D" w:rsidP="002B75A3">
            <w:pPr>
              <w:tabs>
                <w:tab w:val="left" w:pos="85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805723">
              <w:rPr>
                <w:rFonts w:ascii="Times New Roman" w:hAnsi="Times New Roman" w:cs="Times New Roman"/>
                <w:lang w:val="en-US"/>
              </w:rPr>
              <w:t>483</w:t>
            </w:r>
          </w:p>
        </w:tc>
        <w:tc>
          <w:tcPr>
            <w:tcW w:w="1701" w:type="dxa"/>
          </w:tcPr>
          <w:p w:rsidR="00A9023D" w:rsidRPr="00805723" w:rsidRDefault="00A9023D" w:rsidP="002B75A3">
            <w:pPr>
              <w:tabs>
                <w:tab w:val="left" w:pos="85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805723">
              <w:rPr>
                <w:rFonts w:ascii="Times New Roman" w:hAnsi="Times New Roman" w:cs="Times New Roman"/>
                <w:lang w:val="en-US"/>
              </w:rPr>
              <w:t>15,7</w:t>
            </w:r>
          </w:p>
        </w:tc>
        <w:tc>
          <w:tcPr>
            <w:tcW w:w="1417" w:type="dxa"/>
          </w:tcPr>
          <w:p w:rsidR="00A9023D" w:rsidRPr="00805723" w:rsidRDefault="00A9023D" w:rsidP="002B75A3">
            <w:pPr>
              <w:tabs>
                <w:tab w:val="left" w:pos="85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805723">
              <w:rPr>
                <w:rFonts w:ascii="Times New Roman" w:hAnsi="Times New Roman" w:cs="Times New Roman"/>
                <w:lang w:val="en-US"/>
              </w:rPr>
              <w:t>-0,4</w:t>
            </w:r>
          </w:p>
        </w:tc>
      </w:tr>
      <w:tr w:rsidR="00A9023D" w:rsidTr="008057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4" w:type="dxa"/>
          </w:tcPr>
          <w:p w:rsidR="00A9023D" w:rsidRPr="00805723" w:rsidRDefault="00A9023D" w:rsidP="002B75A3">
            <w:pPr>
              <w:tabs>
                <w:tab w:val="left" w:pos="851"/>
              </w:tabs>
              <w:rPr>
                <w:rFonts w:ascii="Times New Roman" w:hAnsi="Times New Roman" w:cs="Times New Roman"/>
                <w:b w:val="0"/>
                <w:lang w:val="en-US"/>
              </w:rPr>
            </w:pPr>
            <w:r w:rsidRPr="00805723">
              <w:rPr>
                <w:rFonts w:ascii="Times New Roman" w:hAnsi="Times New Roman" w:cs="Times New Roman"/>
                <w:b w:val="0"/>
                <w:lang w:val="en-US"/>
              </w:rPr>
              <w:t>Per mažas</w:t>
            </w:r>
          </w:p>
        </w:tc>
        <w:tc>
          <w:tcPr>
            <w:tcW w:w="1717" w:type="dxa"/>
          </w:tcPr>
          <w:p w:rsidR="00A9023D" w:rsidRPr="00805723" w:rsidRDefault="00805723" w:rsidP="002B75A3">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805723">
              <w:rPr>
                <w:rFonts w:ascii="Times New Roman" w:hAnsi="Times New Roman" w:cs="Times New Roman"/>
                <w:lang w:val="en-US"/>
              </w:rPr>
              <w:t>365</w:t>
            </w:r>
          </w:p>
        </w:tc>
        <w:tc>
          <w:tcPr>
            <w:tcW w:w="1701" w:type="dxa"/>
          </w:tcPr>
          <w:p w:rsidR="00A9023D" w:rsidRPr="00805723" w:rsidRDefault="00805723" w:rsidP="002B75A3">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805723">
              <w:rPr>
                <w:rFonts w:ascii="Times New Roman" w:hAnsi="Times New Roman" w:cs="Times New Roman"/>
                <w:lang w:val="en-US"/>
              </w:rPr>
              <w:t>11,8</w:t>
            </w:r>
          </w:p>
        </w:tc>
        <w:tc>
          <w:tcPr>
            <w:tcW w:w="1417" w:type="dxa"/>
          </w:tcPr>
          <w:p w:rsidR="00A9023D" w:rsidRPr="00805723" w:rsidRDefault="00805723" w:rsidP="002B75A3">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805723">
              <w:rPr>
                <w:rFonts w:ascii="Times New Roman" w:hAnsi="Times New Roman" w:cs="Times New Roman"/>
                <w:lang w:val="en-US"/>
              </w:rPr>
              <w:t>1,3</w:t>
            </w:r>
          </w:p>
        </w:tc>
      </w:tr>
      <w:tr w:rsidR="00A9023D" w:rsidTr="008057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4" w:type="dxa"/>
          </w:tcPr>
          <w:p w:rsidR="00A9023D" w:rsidRPr="00805723" w:rsidRDefault="00A9023D" w:rsidP="002B75A3">
            <w:pPr>
              <w:tabs>
                <w:tab w:val="left" w:pos="851"/>
              </w:tabs>
              <w:rPr>
                <w:rFonts w:ascii="Times New Roman" w:hAnsi="Times New Roman" w:cs="Times New Roman"/>
                <w:b w:val="0"/>
                <w:lang w:val="en-US"/>
              </w:rPr>
            </w:pPr>
            <w:r w:rsidRPr="00805723">
              <w:rPr>
                <w:rFonts w:ascii="Times New Roman" w:hAnsi="Times New Roman" w:cs="Times New Roman"/>
                <w:b w:val="0"/>
                <w:lang w:val="en-US"/>
              </w:rPr>
              <w:t>Nutukimas</w:t>
            </w:r>
          </w:p>
        </w:tc>
        <w:tc>
          <w:tcPr>
            <w:tcW w:w="1717" w:type="dxa"/>
          </w:tcPr>
          <w:p w:rsidR="00A9023D" w:rsidRPr="00805723" w:rsidRDefault="00805723" w:rsidP="002B75A3">
            <w:pPr>
              <w:tabs>
                <w:tab w:val="left" w:pos="85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805723">
              <w:rPr>
                <w:rFonts w:ascii="Times New Roman" w:hAnsi="Times New Roman" w:cs="Times New Roman"/>
                <w:lang w:val="en-US"/>
              </w:rPr>
              <w:t>208</w:t>
            </w:r>
          </w:p>
        </w:tc>
        <w:tc>
          <w:tcPr>
            <w:tcW w:w="1701" w:type="dxa"/>
          </w:tcPr>
          <w:p w:rsidR="00A9023D" w:rsidRPr="00805723" w:rsidRDefault="00805723" w:rsidP="002B75A3">
            <w:pPr>
              <w:tabs>
                <w:tab w:val="left" w:pos="85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805723">
              <w:rPr>
                <w:rFonts w:ascii="Times New Roman" w:hAnsi="Times New Roman" w:cs="Times New Roman"/>
                <w:lang w:val="en-US"/>
              </w:rPr>
              <w:t>6,7</w:t>
            </w:r>
          </w:p>
        </w:tc>
        <w:tc>
          <w:tcPr>
            <w:tcW w:w="1417" w:type="dxa"/>
          </w:tcPr>
          <w:p w:rsidR="00A9023D" w:rsidRPr="00805723" w:rsidRDefault="00805723" w:rsidP="002B75A3">
            <w:pPr>
              <w:tabs>
                <w:tab w:val="left" w:pos="851"/>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805723">
              <w:rPr>
                <w:rFonts w:ascii="Times New Roman" w:hAnsi="Times New Roman" w:cs="Times New Roman"/>
                <w:lang w:val="en-US"/>
              </w:rPr>
              <w:t>0,2</w:t>
            </w:r>
          </w:p>
        </w:tc>
      </w:tr>
    </w:tbl>
    <w:p w:rsidR="00CA420A" w:rsidRDefault="005E5A5C" w:rsidP="002B75A3">
      <w:pPr>
        <w:tabs>
          <w:tab w:val="left" w:pos="851"/>
        </w:tabs>
        <w:spacing w:before="240" w:after="0" w:line="360" w:lineRule="auto"/>
        <w:jc w:val="both"/>
        <w:rPr>
          <w:rFonts w:ascii="Times New Roman" w:hAnsi="Times New Roman" w:cs="Times New Roman"/>
          <w:sz w:val="24"/>
          <w:szCs w:val="23"/>
        </w:rPr>
      </w:pPr>
      <w:r>
        <w:rPr>
          <w:rFonts w:ascii="Times New Roman" w:hAnsi="Times New Roman" w:cs="Times New Roman"/>
          <w:sz w:val="24"/>
          <w:szCs w:val="23"/>
        </w:rPr>
        <w:tab/>
      </w:r>
      <w:r w:rsidRPr="005E5A5C">
        <w:rPr>
          <w:rFonts w:ascii="Times New Roman" w:hAnsi="Times New Roman" w:cs="Times New Roman"/>
          <w:sz w:val="24"/>
          <w:szCs w:val="23"/>
        </w:rPr>
        <w:t xml:space="preserve">Apžvelgiant KMI įvertinimo rezultatus per paskutinius trejus metus, labiausiai pakito turinčių normalų kūno svorį vaikų 7–17 m. amžiaus dalis. Nuo 2016 m. iki 2018 m., normalaus svorio vaikų dalis </w:t>
      </w:r>
      <w:r w:rsidR="002A08CF">
        <w:rPr>
          <w:rFonts w:ascii="Times New Roman" w:hAnsi="Times New Roman" w:cs="Times New Roman"/>
          <w:sz w:val="24"/>
          <w:szCs w:val="23"/>
        </w:rPr>
        <w:t>padidėjo</w:t>
      </w:r>
      <w:r w:rsidRPr="005E5A5C">
        <w:rPr>
          <w:rFonts w:ascii="Times New Roman" w:hAnsi="Times New Roman" w:cs="Times New Roman"/>
          <w:sz w:val="24"/>
          <w:szCs w:val="23"/>
        </w:rPr>
        <w:t xml:space="preserve"> </w:t>
      </w:r>
      <w:r w:rsidR="002A08CF">
        <w:rPr>
          <w:rFonts w:ascii="Times New Roman" w:hAnsi="Times New Roman" w:cs="Times New Roman"/>
          <w:sz w:val="24"/>
          <w:szCs w:val="23"/>
        </w:rPr>
        <w:t>2,01</w:t>
      </w:r>
      <w:r w:rsidRPr="005E5A5C">
        <w:rPr>
          <w:rFonts w:ascii="Times New Roman" w:hAnsi="Times New Roman" w:cs="Times New Roman"/>
          <w:sz w:val="24"/>
          <w:szCs w:val="23"/>
        </w:rPr>
        <w:t xml:space="preserve"> </w:t>
      </w:r>
      <w:r w:rsidR="003278FC">
        <w:rPr>
          <w:rFonts w:ascii="Times New Roman" w:hAnsi="Times New Roman" w:cs="Times New Roman"/>
          <w:sz w:val="24"/>
          <w:szCs w:val="23"/>
        </w:rPr>
        <w:t>proc.</w:t>
      </w:r>
      <w:r w:rsidRPr="005E5A5C">
        <w:rPr>
          <w:rFonts w:ascii="Times New Roman" w:hAnsi="Times New Roman" w:cs="Times New Roman"/>
          <w:sz w:val="24"/>
          <w:szCs w:val="23"/>
        </w:rPr>
        <w:t xml:space="preserve"> 2016 m. tokių vaikų buvo </w:t>
      </w:r>
      <w:r w:rsidR="002A08CF">
        <w:rPr>
          <w:rFonts w:ascii="Times New Roman" w:hAnsi="Times New Roman" w:cs="Times New Roman"/>
          <w:sz w:val="24"/>
          <w:szCs w:val="23"/>
        </w:rPr>
        <w:t>63,79</w:t>
      </w:r>
      <w:r w:rsidRPr="005E5A5C">
        <w:rPr>
          <w:rFonts w:ascii="Times New Roman" w:hAnsi="Times New Roman" w:cs="Times New Roman"/>
          <w:sz w:val="24"/>
          <w:szCs w:val="23"/>
        </w:rPr>
        <w:t xml:space="preserve"> </w:t>
      </w:r>
      <w:r w:rsidR="003278FC">
        <w:rPr>
          <w:rFonts w:ascii="Times New Roman" w:hAnsi="Times New Roman" w:cs="Times New Roman"/>
          <w:sz w:val="24"/>
          <w:szCs w:val="23"/>
        </w:rPr>
        <w:t>proc.</w:t>
      </w:r>
      <w:r w:rsidRPr="005E5A5C">
        <w:rPr>
          <w:rFonts w:ascii="Times New Roman" w:hAnsi="Times New Roman" w:cs="Times New Roman"/>
          <w:sz w:val="24"/>
          <w:szCs w:val="23"/>
        </w:rPr>
        <w:t xml:space="preserve">, 2017 m. </w:t>
      </w:r>
      <w:r w:rsidR="002A08CF">
        <w:rPr>
          <w:rFonts w:ascii="Times New Roman" w:hAnsi="Times New Roman" w:cs="Times New Roman"/>
          <w:sz w:val="24"/>
          <w:szCs w:val="23"/>
        </w:rPr>
        <w:t>66,9</w:t>
      </w:r>
      <w:r w:rsidRPr="005E5A5C">
        <w:rPr>
          <w:rFonts w:ascii="Times New Roman" w:hAnsi="Times New Roman" w:cs="Times New Roman"/>
          <w:sz w:val="24"/>
          <w:szCs w:val="23"/>
        </w:rPr>
        <w:t xml:space="preserve"> </w:t>
      </w:r>
      <w:r w:rsidR="003278FC">
        <w:rPr>
          <w:rFonts w:ascii="Times New Roman" w:hAnsi="Times New Roman" w:cs="Times New Roman"/>
          <w:sz w:val="24"/>
          <w:szCs w:val="23"/>
        </w:rPr>
        <w:t>proc.</w:t>
      </w:r>
      <w:r w:rsidRPr="005E5A5C">
        <w:rPr>
          <w:rFonts w:ascii="Times New Roman" w:hAnsi="Times New Roman" w:cs="Times New Roman"/>
          <w:sz w:val="24"/>
          <w:szCs w:val="23"/>
        </w:rPr>
        <w:t xml:space="preserve">, 2018 m. – </w:t>
      </w:r>
      <w:r w:rsidR="002A08CF">
        <w:rPr>
          <w:rFonts w:ascii="Times New Roman" w:hAnsi="Times New Roman" w:cs="Times New Roman"/>
          <w:sz w:val="24"/>
          <w:szCs w:val="23"/>
        </w:rPr>
        <w:t>65,8</w:t>
      </w:r>
      <w:r w:rsidRPr="005E5A5C">
        <w:rPr>
          <w:rFonts w:ascii="Times New Roman" w:hAnsi="Times New Roman" w:cs="Times New Roman"/>
          <w:sz w:val="24"/>
          <w:szCs w:val="23"/>
        </w:rPr>
        <w:t xml:space="preserve"> </w:t>
      </w:r>
      <w:r w:rsidR="003278FC">
        <w:rPr>
          <w:rFonts w:ascii="Times New Roman" w:hAnsi="Times New Roman" w:cs="Times New Roman"/>
          <w:sz w:val="24"/>
          <w:szCs w:val="23"/>
        </w:rPr>
        <w:t>proc.</w:t>
      </w:r>
      <w:r w:rsidRPr="005E5A5C">
        <w:rPr>
          <w:rFonts w:ascii="Times New Roman" w:hAnsi="Times New Roman" w:cs="Times New Roman"/>
          <w:sz w:val="24"/>
          <w:szCs w:val="23"/>
        </w:rPr>
        <w:t xml:space="preserve"> </w:t>
      </w:r>
      <w:r w:rsidR="002A08CF">
        <w:rPr>
          <w:rFonts w:ascii="Times New Roman" w:hAnsi="Times New Roman" w:cs="Times New Roman"/>
          <w:sz w:val="24"/>
          <w:szCs w:val="23"/>
        </w:rPr>
        <w:t>Per paskutinius trejus metus sumažėjo vaikų turinčių antsvorį</w:t>
      </w:r>
      <w:r w:rsidR="003278FC">
        <w:rPr>
          <w:rFonts w:ascii="Times New Roman" w:hAnsi="Times New Roman" w:cs="Times New Roman"/>
          <w:sz w:val="24"/>
          <w:szCs w:val="23"/>
        </w:rPr>
        <w:t>. Per mažą svorį vaikų turinčių skaičius išliko nepakitęs. Nutukusių vaikų dalis padidėjo 0,74 proc.</w:t>
      </w:r>
      <w:r w:rsidRPr="005E5A5C">
        <w:rPr>
          <w:rFonts w:ascii="Times New Roman" w:hAnsi="Times New Roman" w:cs="Times New Roman"/>
          <w:sz w:val="24"/>
          <w:szCs w:val="23"/>
        </w:rPr>
        <w:t xml:space="preserve"> (3 pav.)</w:t>
      </w:r>
      <w:r>
        <w:rPr>
          <w:rFonts w:ascii="Times New Roman" w:hAnsi="Times New Roman" w:cs="Times New Roman"/>
          <w:sz w:val="24"/>
          <w:szCs w:val="23"/>
        </w:rPr>
        <w:t>.</w:t>
      </w:r>
    </w:p>
    <w:p w:rsidR="005E5A5C" w:rsidRDefault="005E5A5C" w:rsidP="006E4F72">
      <w:pPr>
        <w:tabs>
          <w:tab w:val="left" w:pos="851"/>
        </w:tabs>
        <w:spacing w:after="0" w:line="360" w:lineRule="auto"/>
        <w:jc w:val="both"/>
        <w:rPr>
          <w:rFonts w:ascii="Times New Roman" w:hAnsi="Times New Roman" w:cs="Times New Roman"/>
          <w:sz w:val="24"/>
          <w:lang w:val="en-US"/>
        </w:rPr>
      </w:pPr>
      <w:r>
        <w:rPr>
          <w:rFonts w:ascii="Times New Roman" w:hAnsi="Times New Roman" w:cs="Times New Roman"/>
          <w:noProof/>
          <w:sz w:val="24"/>
          <w:lang w:eastAsia="lt-LT"/>
        </w:rPr>
        <w:drawing>
          <wp:inline distT="0" distB="0" distL="0" distR="0">
            <wp:extent cx="5976308" cy="1621766"/>
            <wp:effectExtent l="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A08CF" w:rsidRDefault="002A08CF" w:rsidP="006E4F72">
      <w:pPr>
        <w:tabs>
          <w:tab w:val="left" w:pos="851"/>
        </w:tabs>
        <w:spacing w:after="0" w:line="360" w:lineRule="auto"/>
        <w:jc w:val="center"/>
        <w:rPr>
          <w:rFonts w:ascii="Times New Roman" w:hAnsi="Times New Roman" w:cs="Times New Roman"/>
          <w:b/>
          <w:lang w:val="en-US"/>
        </w:rPr>
      </w:pPr>
      <w:r>
        <w:rPr>
          <w:rFonts w:ascii="Times New Roman" w:hAnsi="Times New Roman" w:cs="Times New Roman"/>
          <w:lang w:val="en-US"/>
        </w:rPr>
        <w:t>3</w:t>
      </w:r>
      <w:r w:rsidRPr="0091523E">
        <w:rPr>
          <w:rFonts w:ascii="Times New Roman" w:hAnsi="Times New Roman" w:cs="Times New Roman"/>
          <w:lang w:val="en-US"/>
        </w:rPr>
        <w:t xml:space="preserve"> pav.</w:t>
      </w:r>
      <w:r>
        <w:rPr>
          <w:rFonts w:ascii="Times New Roman" w:hAnsi="Times New Roman" w:cs="Times New Roman"/>
          <w:b/>
          <w:lang w:val="en-US"/>
        </w:rPr>
        <w:t xml:space="preserve"> 7-17 m. amžiaus vaikų KMI įvertinimas</w:t>
      </w:r>
      <w:r w:rsidR="003278FC">
        <w:rPr>
          <w:rFonts w:ascii="Times New Roman" w:hAnsi="Times New Roman" w:cs="Times New Roman"/>
          <w:b/>
          <w:lang w:val="en-US"/>
        </w:rPr>
        <w:t xml:space="preserve"> procentais</w:t>
      </w:r>
      <w:r>
        <w:rPr>
          <w:rFonts w:ascii="Times New Roman" w:hAnsi="Times New Roman" w:cs="Times New Roman"/>
          <w:b/>
          <w:lang w:val="en-US"/>
        </w:rPr>
        <w:t xml:space="preserve"> 2016-</w:t>
      </w:r>
      <w:r w:rsidRPr="0091523E">
        <w:rPr>
          <w:rFonts w:ascii="Times New Roman" w:hAnsi="Times New Roman" w:cs="Times New Roman"/>
          <w:b/>
          <w:lang w:val="en-US"/>
        </w:rPr>
        <w:t>2018 m.</w:t>
      </w:r>
    </w:p>
    <w:p w:rsidR="00871871" w:rsidRPr="00871871" w:rsidRDefault="00871871" w:rsidP="006E4F72">
      <w:pPr>
        <w:tabs>
          <w:tab w:val="left" w:pos="851"/>
        </w:tabs>
        <w:spacing w:after="0" w:line="360" w:lineRule="auto"/>
        <w:jc w:val="center"/>
        <w:rPr>
          <w:rFonts w:ascii="Times New Roman" w:hAnsi="Times New Roman" w:cs="Times New Roman"/>
          <w:b/>
          <w:sz w:val="20"/>
          <w:lang w:val="en-US"/>
        </w:rPr>
      </w:pPr>
    </w:p>
    <w:p w:rsidR="002A08CF" w:rsidRPr="00096025" w:rsidRDefault="00096025" w:rsidP="006E4F72">
      <w:pPr>
        <w:tabs>
          <w:tab w:val="left" w:pos="851"/>
        </w:tabs>
        <w:spacing w:line="360" w:lineRule="auto"/>
        <w:jc w:val="center"/>
        <w:rPr>
          <w:rFonts w:ascii="Times New Roman" w:hAnsi="Times New Roman" w:cs="Times New Roman"/>
          <w:b/>
          <w:sz w:val="28"/>
          <w:lang w:val="en-US"/>
        </w:rPr>
      </w:pPr>
      <w:r w:rsidRPr="00096025">
        <w:rPr>
          <w:rFonts w:ascii="Times New Roman" w:hAnsi="Times New Roman" w:cs="Times New Roman"/>
          <w:b/>
          <w:sz w:val="28"/>
          <w:lang w:val="en-US"/>
        </w:rPr>
        <w:lastRenderedPageBreak/>
        <w:t>VAIKŲ FIZINIO UGDYMO GRUPIŲ ĮVERTINIMO APŽVALGA</w:t>
      </w:r>
    </w:p>
    <w:p w:rsidR="00096025" w:rsidRPr="00096025" w:rsidRDefault="00096025" w:rsidP="006E4F72">
      <w:pPr>
        <w:pStyle w:val="Default"/>
        <w:tabs>
          <w:tab w:val="left" w:pos="851"/>
        </w:tabs>
        <w:spacing w:line="360" w:lineRule="auto"/>
        <w:jc w:val="both"/>
        <w:rPr>
          <w:rFonts w:ascii="Times New Roman" w:hAnsi="Times New Roman" w:cs="Times New Roman"/>
          <w:szCs w:val="23"/>
        </w:rPr>
      </w:pPr>
      <w:r>
        <w:rPr>
          <w:rFonts w:ascii="Times New Roman" w:hAnsi="Times New Roman" w:cs="Times New Roman"/>
          <w:szCs w:val="23"/>
        </w:rPr>
        <w:tab/>
      </w:r>
      <w:r w:rsidRPr="00096025">
        <w:rPr>
          <w:rFonts w:ascii="Times New Roman" w:hAnsi="Times New Roman" w:cs="Times New Roman"/>
          <w:szCs w:val="23"/>
        </w:rPr>
        <w:t xml:space="preserve">Atliekant kasmetinį vaiko sveikatos patikrinimą, šeimos ar vaikų ligų gydytojas įvertinęs vaiko sveikatos būklę Vaiko sveikatos pažymėjime nurodo fizinio ugdymo grupę: pagrindinė, parengiamoji, specialioji ar pažymi iki tam tikro laikotarpio vaikui atleidimą nuo fizinio lavinimo pamokų. </w:t>
      </w:r>
    </w:p>
    <w:p w:rsidR="00096025" w:rsidRPr="00096025" w:rsidRDefault="00DD5218" w:rsidP="006E4F72">
      <w:pPr>
        <w:pStyle w:val="Default"/>
        <w:tabs>
          <w:tab w:val="left" w:pos="851"/>
        </w:tabs>
        <w:spacing w:line="360" w:lineRule="auto"/>
        <w:jc w:val="both"/>
        <w:rPr>
          <w:rFonts w:ascii="Times New Roman" w:hAnsi="Times New Roman" w:cs="Times New Roman"/>
          <w:szCs w:val="23"/>
        </w:rPr>
      </w:pPr>
      <w:r>
        <w:rPr>
          <w:rFonts w:ascii="Times New Roman" w:hAnsi="Times New Roman" w:cs="Times New Roman"/>
          <w:szCs w:val="23"/>
        </w:rPr>
        <w:tab/>
      </w:r>
      <w:r w:rsidR="00096025" w:rsidRPr="00096025">
        <w:rPr>
          <w:rFonts w:ascii="Times New Roman" w:hAnsi="Times New Roman" w:cs="Times New Roman"/>
          <w:szCs w:val="23"/>
        </w:rPr>
        <w:t xml:space="preserve">2018 m. </w:t>
      </w:r>
      <w:r>
        <w:rPr>
          <w:rFonts w:ascii="Times New Roman" w:hAnsi="Times New Roman" w:cs="Times New Roman"/>
          <w:szCs w:val="23"/>
        </w:rPr>
        <w:t xml:space="preserve">94,6 </w:t>
      </w:r>
      <w:r w:rsidR="00096025" w:rsidRPr="00096025">
        <w:rPr>
          <w:rFonts w:ascii="Times New Roman" w:hAnsi="Times New Roman" w:cs="Times New Roman"/>
          <w:szCs w:val="23"/>
        </w:rPr>
        <w:t>vaik</w:t>
      </w:r>
      <w:r>
        <w:rPr>
          <w:rFonts w:ascii="Times New Roman" w:hAnsi="Times New Roman" w:cs="Times New Roman"/>
          <w:szCs w:val="23"/>
        </w:rPr>
        <w:t>ų</w:t>
      </w:r>
      <w:r w:rsidR="00096025" w:rsidRPr="00096025">
        <w:rPr>
          <w:rFonts w:ascii="Times New Roman" w:hAnsi="Times New Roman" w:cs="Times New Roman"/>
          <w:szCs w:val="23"/>
        </w:rPr>
        <w:t xml:space="preserve"> dalyvavo ugdymo procese, turėdami pagrindinę fizinio ugdymo grupę. (</w:t>
      </w:r>
      <w:r w:rsidR="000F4111" w:rsidRPr="000F4111">
        <w:rPr>
          <w:rFonts w:ascii="Times New Roman" w:hAnsi="Times New Roman" w:cs="Times New Roman"/>
          <w:color w:val="auto"/>
          <w:szCs w:val="23"/>
        </w:rPr>
        <w:t>4</w:t>
      </w:r>
      <w:r w:rsidR="00096025" w:rsidRPr="000F4111">
        <w:rPr>
          <w:rFonts w:ascii="Times New Roman" w:hAnsi="Times New Roman" w:cs="Times New Roman"/>
          <w:color w:val="auto"/>
          <w:szCs w:val="23"/>
        </w:rPr>
        <w:t xml:space="preserve"> pav.)</w:t>
      </w:r>
      <w:r w:rsidR="00096025" w:rsidRPr="00096025">
        <w:rPr>
          <w:rFonts w:ascii="Times New Roman" w:hAnsi="Times New Roman" w:cs="Times New Roman"/>
          <w:szCs w:val="23"/>
        </w:rPr>
        <w:t xml:space="preserve"> Pagrindinei fizinio ugdymo grupei priskiriami visiškai sveiki ar turintys nedidelių sveikatos sutrikimų (nedidelio laipsnio regos sutrikimai, netaisyklinga laikysena, funkciniai negalavimai ir pan.) mokiniai. Šiai grupei priklausantys vaikai gali treniruotis sporto būreliuose ir dalyvauti sporto varžybose. Palyginus su 2017 m., tokių vaikų dalis pagrindinėje fizinio ugdymo grupėje nežymiai (0,</w:t>
      </w:r>
      <w:r w:rsidR="0049141F">
        <w:rPr>
          <w:rFonts w:ascii="Times New Roman" w:hAnsi="Times New Roman" w:cs="Times New Roman"/>
          <w:szCs w:val="23"/>
        </w:rPr>
        <w:t>5</w:t>
      </w:r>
      <w:r w:rsidR="00096025" w:rsidRPr="00096025">
        <w:rPr>
          <w:rFonts w:ascii="Times New Roman" w:hAnsi="Times New Roman" w:cs="Times New Roman"/>
          <w:szCs w:val="23"/>
        </w:rPr>
        <w:t xml:space="preserve"> </w:t>
      </w:r>
      <w:r w:rsidR="0049141F">
        <w:rPr>
          <w:rFonts w:ascii="Times New Roman" w:hAnsi="Times New Roman" w:cs="Times New Roman"/>
          <w:szCs w:val="23"/>
        </w:rPr>
        <w:t>proc.</w:t>
      </w:r>
      <w:r w:rsidR="00096025" w:rsidRPr="00096025">
        <w:rPr>
          <w:rFonts w:ascii="Times New Roman" w:hAnsi="Times New Roman" w:cs="Times New Roman"/>
          <w:szCs w:val="23"/>
        </w:rPr>
        <w:t>) išaugo (</w:t>
      </w:r>
      <w:r w:rsidR="00CE0F2B" w:rsidRPr="00CE0F2B">
        <w:rPr>
          <w:rFonts w:ascii="Times New Roman" w:hAnsi="Times New Roman" w:cs="Times New Roman"/>
          <w:color w:val="auto"/>
          <w:szCs w:val="23"/>
        </w:rPr>
        <w:t>5</w:t>
      </w:r>
      <w:r w:rsidR="00096025" w:rsidRPr="00CE0F2B">
        <w:rPr>
          <w:rFonts w:ascii="Times New Roman" w:hAnsi="Times New Roman" w:cs="Times New Roman"/>
          <w:color w:val="auto"/>
          <w:szCs w:val="23"/>
        </w:rPr>
        <w:t xml:space="preserve"> </w:t>
      </w:r>
      <w:r w:rsidR="00CE0F2B" w:rsidRPr="00CE0F2B">
        <w:rPr>
          <w:rFonts w:ascii="Times New Roman" w:hAnsi="Times New Roman" w:cs="Times New Roman"/>
          <w:color w:val="auto"/>
          <w:szCs w:val="23"/>
        </w:rPr>
        <w:t>pav</w:t>
      </w:r>
      <w:r w:rsidR="00CE0F2B">
        <w:rPr>
          <w:rFonts w:ascii="Times New Roman" w:hAnsi="Times New Roman" w:cs="Times New Roman"/>
          <w:color w:val="auto"/>
          <w:szCs w:val="23"/>
        </w:rPr>
        <w:t>.</w:t>
      </w:r>
      <w:r w:rsidR="00096025" w:rsidRPr="00096025">
        <w:rPr>
          <w:rFonts w:ascii="Times New Roman" w:hAnsi="Times New Roman" w:cs="Times New Roman"/>
          <w:szCs w:val="23"/>
        </w:rPr>
        <w:t xml:space="preserve">). </w:t>
      </w:r>
    </w:p>
    <w:p w:rsidR="00096025" w:rsidRPr="00096025" w:rsidRDefault="00DD5218" w:rsidP="006E4F72">
      <w:pPr>
        <w:pStyle w:val="Default"/>
        <w:tabs>
          <w:tab w:val="left" w:pos="851"/>
        </w:tabs>
        <w:spacing w:line="360" w:lineRule="auto"/>
        <w:jc w:val="both"/>
        <w:rPr>
          <w:rFonts w:ascii="Times New Roman" w:hAnsi="Times New Roman" w:cs="Times New Roman"/>
          <w:szCs w:val="23"/>
        </w:rPr>
      </w:pPr>
      <w:r>
        <w:rPr>
          <w:rFonts w:ascii="Times New Roman" w:hAnsi="Times New Roman" w:cs="Times New Roman"/>
          <w:szCs w:val="23"/>
        </w:rPr>
        <w:tab/>
      </w:r>
      <w:r w:rsidR="00096025" w:rsidRPr="00096025">
        <w:rPr>
          <w:rFonts w:ascii="Times New Roman" w:hAnsi="Times New Roman" w:cs="Times New Roman"/>
          <w:szCs w:val="23"/>
        </w:rPr>
        <w:t>Parengiamoje fizinio ugdymo grupėje 2018 m. mankštinosi 3,</w:t>
      </w:r>
      <w:r w:rsidR="0049141F">
        <w:rPr>
          <w:rFonts w:ascii="Times New Roman" w:hAnsi="Times New Roman" w:cs="Times New Roman"/>
          <w:szCs w:val="23"/>
        </w:rPr>
        <w:t>4</w:t>
      </w:r>
      <w:r w:rsidR="00096025" w:rsidRPr="00096025">
        <w:rPr>
          <w:rFonts w:ascii="Times New Roman" w:hAnsi="Times New Roman" w:cs="Times New Roman"/>
          <w:szCs w:val="23"/>
        </w:rPr>
        <w:t xml:space="preserve"> </w:t>
      </w:r>
      <w:r w:rsidR="0049141F">
        <w:rPr>
          <w:rFonts w:ascii="Times New Roman" w:hAnsi="Times New Roman" w:cs="Times New Roman"/>
          <w:szCs w:val="23"/>
        </w:rPr>
        <w:t>proc.</w:t>
      </w:r>
      <w:r w:rsidR="00096025" w:rsidRPr="00096025">
        <w:rPr>
          <w:rFonts w:ascii="Times New Roman" w:hAnsi="Times New Roman" w:cs="Times New Roman"/>
          <w:szCs w:val="23"/>
        </w:rPr>
        <w:t xml:space="preserve"> </w:t>
      </w:r>
      <w:r w:rsidR="0049141F">
        <w:rPr>
          <w:rFonts w:ascii="Times New Roman" w:hAnsi="Times New Roman" w:cs="Times New Roman"/>
          <w:szCs w:val="23"/>
        </w:rPr>
        <w:t>rajono</w:t>
      </w:r>
      <w:r w:rsidR="005D3A47">
        <w:rPr>
          <w:rFonts w:ascii="Times New Roman" w:hAnsi="Times New Roman" w:cs="Times New Roman"/>
          <w:szCs w:val="23"/>
        </w:rPr>
        <w:t xml:space="preserve"> 7–17 m. amžiaus vaikų </w:t>
      </w:r>
      <w:r w:rsidR="00096025" w:rsidRPr="00096025">
        <w:rPr>
          <w:rFonts w:ascii="Times New Roman" w:hAnsi="Times New Roman" w:cs="Times New Roman"/>
          <w:szCs w:val="23"/>
        </w:rPr>
        <w:t>(</w:t>
      </w:r>
      <w:r w:rsidR="000F4111" w:rsidRPr="000F4111">
        <w:rPr>
          <w:rFonts w:ascii="Times New Roman" w:hAnsi="Times New Roman" w:cs="Times New Roman"/>
          <w:color w:val="auto"/>
          <w:szCs w:val="23"/>
        </w:rPr>
        <w:t>4</w:t>
      </w:r>
      <w:r w:rsidR="00096025" w:rsidRPr="000F4111">
        <w:rPr>
          <w:rFonts w:ascii="Times New Roman" w:hAnsi="Times New Roman" w:cs="Times New Roman"/>
          <w:color w:val="auto"/>
          <w:szCs w:val="23"/>
        </w:rPr>
        <w:t xml:space="preserve"> pav</w:t>
      </w:r>
      <w:r w:rsidR="00096025" w:rsidRPr="00096025">
        <w:rPr>
          <w:rFonts w:ascii="Times New Roman" w:hAnsi="Times New Roman" w:cs="Times New Roman"/>
          <w:szCs w:val="23"/>
        </w:rPr>
        <w:t>.)</w:t>
      </w:r>
      <w:r w:rsidR="005D3A47">
        <w:rPr>
          <w:rFonts w:ascii="Times New Roman" w:hAnsi="Times New Roman" w:cs="Times New Roman"/>
          <w:szCs w:val="23"/>
        </w:rPr>
        <w:t xml:space="preserve">. </w:t>
      </w:r>
      <w:r w:rsidR="00096025" w:rsidRPr="00096025">
        <w:rPr>
          <w:rFonts w:ascii="Times New Roman" w:hAnsi="Times New Roman" w:cs="Times New Roman"/>
          <w:szCs w:val="23"/>
        </w:rPr>
        <w:t xml:space="preserve"> Prie šios grupės priskiriami vaikai, turintys nedidelių sveikatos sutrikimų, persirgę tam tikromis ligomis ir laikinai negalintys lankyti kūno kultūros pamokų visu pajėgumu. Jie mankštinasi pamokose pagal mokyklinę programą su sąlyga, kad fizinė veikla nepablogintų jų sveikatos būklės. Kai kurie fiziniai pratimai nėra atliekami arba ribojami. Gydytojas specialistas, priskyręs vaiką prie šios fizinio ugdymo grupės, turi nurodyti ir vaiko dalyvavimo ugdymo veikloje rekomendacijas. Palyginus su 2017 m., vaikų dalis parengiamojoje grupėje sumažėjo 0,</w:t>
      </w:r>
      <w:r w:rsidR="0049141F">
        <w:rPr>
          <w:rFonts w:ascii="Times New Roman" w:hAnsi="Times New Roman" w:cs="Times New Roman"/>
          <w:szCs w:val="23"/>
        </w:rPr>
        <w:t>1</w:t>
      </w:r>
      <w:r w:rsidR="00096025" w:rsidRPr="00096025">
        <w:rPr>
          <w:rFonts w:ascii="Times New Roman" w:hAnsi="Times New Roman" w:cs="Times New Roman"/>
          <w:szCs w:val="23"/>
        </w:rPr>
        <w:t xml:space="preserve"> </w:t>
      </w:r>
      <w:r w:rsidR="0049141F">
        <w:rPr>
          <w:rFonts w:ascii="Times New Roman" w:hAnsi="Times New Roman" w:cs="Times New Roman"/>
          <w:szCs w:val="23"/>
        </w:rPr>
        <w:t>proc.</w:t>
      </w:r>
      <w:r w:rsidR="00096025" w:rsidRPr="00096025">
        <w:rPr>
          <w:rFonts w:ascii="Times New Roman" w:hAnsi="Times New Roman" w:cs="Times New Roman"/>
          <w:szCs w:val="23"/>
        </w:rPr>
        <w:t xml:space="preserve"> (</w:t>
      </w:r>
      <w:r w:rsidR="00CE0F2B" w:rsidRPr="00CE0F2B">
        <w:rPr>
          <w:rFonts w:ascii="Times New Roman" w:hAnsi="Times New Roman" w:cs="Times New Roman"/>
          <w:color w:val="auto"/>
          <w:szCs w:val="23"/>
        </w:rPr>
        <w:t>5</w:t>
      </w:r>
      <w:r w:rsidR="00096025" w:rsidRPr="00096025">
        <w:rPr>
          <w:rFonts w:ascii="Times New Roman" w:hAnsi="Times New Roman" w:cs="Times New Roman"/>
          <w:szCs w:val="23"/>
        </w:rPr>
        <w:t xml:space="preserve"> </w:t>
      </w:r>
      <w:r w:rsidR="00CE0F2B">
        <w:rPr>
          <w:rFonts w:ascii="Times New Roman" w:hAnsi="Times New Roman" w:cs="Times New Roman"/>
          <w:szCs w:val="23"/>
        </w:rPr>
        <w:t>pav.</w:t>
      </w:r>
      <w:r w:rsidR="00096025" w:rsidRPr="00096025">
        <w:rPr>
          <w:rFonts w:ascii="Times New Roman" w:hAnsi="Times New Roman" w:cs="Times New Roman"/>
          <w:szCs w:val="23"/>
        </w:rPr>
        <w:t xml:space="preserve">). </w:t>
      </w:r>
    </w:p>
    <w:p w:rsidR="00CA420A" w:rsidRDefault="00DD5218" w:rsidP="006E4F72">
      <w:pPr>
        <w:tabs>
          <w:tab w:val="left" w:pos="851"/>
        </w:tabs>
        <w:spacing w:line="360" w:lineRule="auto"/>
        <w:jc w:val="both"/>
        <w:rPr>
          <w:rFonts w:ascii="Times New Roman" w:hAnsi="Times New Roman" w:cs="Times New Roman"/>
          <w:sz w:val="24"/>
          <w:szCs w:val="23"/>
        </w:rPr>
      </w:pPr>
      <w:r>
        <w:rPr>
          <w:rFonts w:ascii="Times New Roman" w:hAnsi="Times New Roman" w:cs="Times New Roman"/>
          <w:sz w:val="24"/>
          <w:szCs w:val="23"/>
        </w:rPr>
        <w:tab/>
      </w:r>
      <w:r w:rsidR="00096025" w:rsidRPr="00096025">
        <w:rPr>
          <w:rFonts w:ascii="Times New Roman" w:hAnsi="Times New Roman" w:cs="Times New Roman"/>
          <w:sz w:val="24"/>
          <w:szCs w:val="23"/>
        </w:rPr>
        <w:t xml:space="preserve">Prie specialios fizinio ugdymo grupės 2018 m. buvo paskirta </w:t>
      </w:r>
      <w:r w:rsidR="0049141F">
        <w:rPr>
          <w:rFonts w:ascii="Times New Roman" w:hAnsi="Times New Roman" w:cs="Times New Roman"/>
          <w:sz w:val="24"/>
          <w:szCs w:val="23"/>
        </w:rPr>
        <w:t>2,0</w:t>
      </w:r>
      <w:r w:rsidR="00096025" w:rsidRPr="00096025">
        <w:rPr>
          <w:rFonts w:ascii="Times New Roman" w:hAnsi="Times New Roman" w:cs="Times New Roman"/>
          <w:sz w:val="24"/>
          <w:szCs w:val="23"/>
        </w:rPr>
        <w:t xml:space="preserve"> </w:t>
      </w:r>
      <w:r w:rsidR="0049141F">
        <w:rPr>
          <w:rFonts w:ascii="Times New Roman" w:hAnsi="Times New Roman" w:cs="Times New Roman"/>
          <w:sz w:val="24"/>
          <w:szCs w:val="23"/>
        </w:rPr>
        <w:t>proc.</w:t>
      </w:r>
      <w:r w:rsidR="005D3A47">
        <w:rPr>
          <w:rFonts w:ascii="Times New Roman" w:hAnsi="Times New Roman" w:cs="Times New Roman"/>
          <w:sz w:val="24"/>
          <w:szCs w:val="23"/>
        </w:rPr>
        <w:t xml:space="preserve"> vaikų </w:t>
      </w:r>
      <w:r w:rsidR="00096025" w:rsidRPr="00096025">
        <w:rPr>
          <w:rFonts w:ascii="Times New Roman" w:hAnsi="Times New Roman" w:cs="Times New Roman"/>
          <w:sz w:val="24"/>
          <w:szCs w:val="23"/>
        </w:rPr>
        <w:t>(</w:t>
      </w:r>
      <w:r w:rsidR="000F4111">
        <w:rPr>
          <w:rFonts w:ascii="Times New Roman" w:hAnsi="Times New Roman" w:cs="Times New Roman"/>
          <w:sz w:val="24"/>
          <w:szCs w:val="23"/>
        </w:rPr>
        <w:t>4</w:t>
      </w:r>
      <w:r w:rsidR="00096025" w:rsidRPr="00096025">
        <w:rPr>
          <w:rFonts w:ascii="Times New Roman" w:hAnsi="Times New Roman" w:cs="Times New Roman"/>
          <w:sz w:val="24"/>
          <w:szCs w:val="23"/>
        </w:rPr>
        <w:t xml:space="preserve"> pav.)</w:t>
      </w:r>
      <w:r w:rsidR="005D3A47">
        <w:rPr>
          <w:rFonts w:ascii="Times New Roman" w:hAnsi="Times New Roman" w:cs="Times New Roman"/>
          <w:sz w:val="24"/>
          <w:szCs w:val="23"/>
        </w:rPr>
        <w:t>.</w:t>
      </w:r>
      <w:r w:rsidR="00096025" w:rsidRPr="00096025">
        <w:rPr>
          <w:rFonts w:ascii="Times New Roman" w:hAnsi="Times New Roman" w:cs="Times New Roman"/>
          <w:sz w:val="24"/>
          <w:szCs w:val="23"/>
        </w:rPr>
        <w:t xml:space="preserve"> Specialiąją grupę sudaro vaikai, turintys nuolatinių ar laikinų sveikatos sutrikimų, kurie su tam tikrais apribojimais netrukdo jiems dalyvauti ugdymo veikloje. Jie mankštinasi pagal specialią kūno kultūros programą ar lanko gydomosios kūno kultūros pratybas. Gydytojas specialistas atitinkamai turi nurodyti ir vaiko dalyvavimo ugdymo veikloje rekomendacijas. Šioje grupėje vaikų dalis 2018 m. </w:t>
      </w:r>
      <w:r w:rsidR="0049141F">
        <w:rPr>
          <w:rFonts w:ascii="Times New Roman" w:hAnsi="Times New Roman" w:cs="Times New Roman"/>
          <w:sz w:val="24"/>
          <w:szCs w:val="23"/>
        </w:rPr>
        <w:t>išaugo 0,4 proc.</w:t>
      </w:r>
      <w:r w:rsidR="00096025" w:rsidRPr="00096025">
        <w:rPr>
          <w:rFonts w:ascii="Times New Roman" w:hAnsi="Times New Roman" w:cs="Times New Roman"/>
          <w:sz w:val="24"/>
          <w:szCs w:val="23"/>
        </w:rPr>
        <w:t>, palyginus su 2017 metais (</w:t>
      </w:r>
      <w:r w:rsidR="00CE0F2B">
        <w:rPr>
          <w:rFonts w:ascii="Times New Roman" w:hAnsi="Times New Roman" w:cs="Times New Roman"/>
          <w:sz w:val="24"/>
          <w:szCs w:val="23"/>
        </w:rPr>
        <w:t>5</w:t>
      </w:r>
      <w:r w:rsidR="00096025" w:rsidRPr="00096025">
        <w:rPr>
          <w:rFonts w:ascii="Times New Roman" w:hAnsi="Times New Roman" w:cs="Times New Roman"/>
          <w:sz w:val="24"/>
          <w:szCs w:val="23"/>
        </w:rPr>
        <w:t xml:space="preserve"> </w:t>
      </w:r>
      <w:r w:rsidR="00CE0F2B">
        <w:rPr>
          <w:rFonts w:ascii="Times New Roman" w:hAnsi="Times New Roman" w:cs="Times New Roman"/>
          <w:sz w:val="24"/>
          <w:szCs w:val="23"/>
        </w:rPr>
        <w:t>pav.</w:t>
      </w:r>
      <w:r w:rsidR="00096025" w:rsidRPr="00096025">
        <w:rPr>
          <w:rFonts w:ascii="Times New Roman" w:hAnsi="Times New Roman" w:cs="Times New Roman"/>
          <w:sz w:val="24"/>
          <w:szCs w:val="23"/>
        </w:rPr>
        <w:t>).</w:t>
      </w:r>
    </w:p>
    <w:p w:rsidR="000F4111" w:rsidRDefault="0049141F" w:rsidP="006E4F72">
      <w:pPr>
        <w:tabs>
          <w:tab w:val="left" w:pos="851"/>
        </w:tabs>
        <w:spacing w:line="360" w:lineRule="auto"/>
        <w:jc w:val="center"/>
        <w:rPr>
          <w:rFonts w:ascii="Times New Roman" w:hAnsi="Times New Roman" w:cs="Times New Roman"/>
          <w:b/>
          <w:lang w:val="en-US"/>
        </w:rPr>
      </w:pPr>
      <w:r>
        <w:rPr>
          <w:rFonts w:ascii="Times New Roman" w:hAnsi="Times New Roman" w:cs="Times New Roman"/>
          <w:b/>
          <w:noProof/>
          <w:sz w:val="36"/>
          <w:lang w:eastAsia="lt-LT"/>
        </w:rPr>
        <w:drawing>
          <wp:inline distT="0" distB="0" distL="0" distR="0">
            <wp:extent cx="5037826" cy="1811547"/>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0F4111">
        <w:rPr>
          <w:rFonts w:ascii="Times New Roman" w:hAnsi="Times New Roman" w:cs="Times New Roman"/>
          <w:b/>
          <w:sz w:val="36"/>
          <w:lang w:val="en-US"/>
        </w:rPr>
        <w:br/>
      </w:r>
      <w:r w:rsidR="000F4111">
        <w:rPr>
          <w:rFonts w:ascii="Times New Roman" w:hAnsi="Times New Roman" w:cs="Times New Roman"/>
          <w:lang w:val="en-US"/>
        </w:rPr>
        <w:t>4</w:t>
      </w:r>
      <w:r w:rsidR="000F4111" w:rsidRPr="0091523E">
        <w:rPr>
          <w:rFonts w:ascii="Times New Roman" w:hAnsi="Times New Roman" w:cs="Times New Roman"/>
          <w:lang w:val="en-US"/>
        </w:rPr>
        <w:t xml:space="preserve"> pav.</w:t>
      </w:r>
      <w:r w:rsidR="000F4111">
        <w:rPr>
          <w:rFonts w:ascii="Times New Roman" w:hAnsi="Times New Roman" w:cs="Times New Roman"/>
          <w:b/>
          <w:lang w:val="en-US"/>
        </w:rPr>
        <w:t xml:space="preserve"> 7-17 m. amžiaus vaikų fizinio pajėgumo įvertinimas procentais </w:t>
      </w:r>
      <w:r w:rsidR="000F4111" w:rsidRPr="0091523E">
        <w:rPr>
          <w:rFonts w:ascii="Times New Roman" w:hAnsi="Times New Roman" w:cs="Times New Roman"/>
          <w:b/>
          <w:lang w:val="en-US"/>
        </w:rPr>
        <w:t>2018 m.</w:t>
      </w:r>
    </w:p>
    <w:p w:rsidR="000F4111" w:rsidRPr="00663CA6" w:rsidRDefault="00663CA6" w:rsidP="006E4F72">
      <w:pPr>
        <w:tabs>
          <w:tab w:val="left" w:pos="851"/>
        </w:tabs>
        <w:spacing w:line="360" w:lineRule="auto"/>
        <w:jc w:val="both"/>
        <w:rPr>
          <w:rFonts w:ascii="Times New Roman" w:hAnsi="Times New Roman" w:cs="Times New Roman"/>
          <w:b/>
          <w:sz w:val="24"/>
          <w:lang w:val="en-US"/>
        </w:rPr>
      </w:pPr>
      <w:r>
        <w:rPr>
          <w:rFonts w:ascii="Times New Roman" w:hAnsi="Times New Roman" w:cs="Times New Roman"/>
          <w:sz w:val="24"/>
          <w:szCs w:val="23"/>
        </w:rPr>
        <w:lastRenderedPageBreak/>
        <w:tab/>
      </w:r>
      <w:r w:rsidRPr="00663CA6">
        <w:rPr>
          <w:rFonts w:ascii="Times New Roman" w:hAnsi="Times New Roman" w:cs="Times New Roman"/>
          <w:sz w:val="24"/>
          <w:szCs w:val="23"/>
        </w:rPr>
        <w:t xml:space="preserve">Apžvelgiant vaikų fizinio pajėgumo pokyčius nuo 2016 m. iki 2018 m., didžiausia dalimi pakito (išaugo </w:t>
      </w:r>
      <w:r>
        <w:rPr>
          <w:rFonts w:ascii="Times New Roman" w:hAnsi="Times New Roman" w:cs="Times New Roman"/>
          <w:sz w:val="24"/>
          <w:szCs w:val="23"/>
        </w:rPr>
        <w:t>1,36</w:t>
      </w:r>
      <w:r w:rsidRPr="00663CA6">
        <w:rPr>
          <w:rFonts w:ascii="Times New Roman" w:hAnsi="Times New Roman" w:cs="Times New Roman"/>
          <w:sz w:val="24"/>
          <w:szCs w:val="23"/>
        </w:rPr>
        <w:t xml:space="preserve"> </w:t>
      </w:r>
      <w:r>
        <w:rPr>
          <w:rFonts w:ascii="Times New Roman" w:hAnsi="Times New Roman" w:cs="Times New Roman"/>
          <w:sz w:val="24"/>
          <w:szCs w:val="23"/>
        </w:rPr>
        <w:t>proc.</w:t>
      </w:r>
      <w:r w:rsidRPr="00663CA6">
        <w:rPr>
          <w:rFonts w:ascii="Times New Roman" w:hAnsi="Times New Roman" w:cs="Times New Roman"/>
          <w:sz w:val="24"/>
          <w:szCs w:val="23"/>
        </w:rPr>
        <w:t>) vaikų, besimankštinusių pagrindinėje fizinio ugdymo grupėje, dalis. Vaikų, kuriems nustatyta parengiamoji fizinio ugdymo grupė nuo 2016 m. iki 2018 m. sumažėjo 0,</w:t>
      </w:r>
      <w:r>
        <w:rPr>
          <w:rFonts w:ascii="Times New Roman" w:hAnsi="Times New Roman" w:cs="Times New Roman"/>
          <w:sz w:val="24"/>
          <w:szCs w:val="23"/>
        </w:rPr>
        <w:t>34</w:t>
      </w:r>
      <w:r w:rsidRPr="00663CA6">
        <w:rPr>
          <w:rFonts w:ascii="Times New Roman" w:hAnsi="Times New Roman" w:cs="Times New Roman"/>
          <w:sz w:val="24"/>
          <w:szCs w:val="23"/>
        </w:rPr>
        <w:t xml:space="preserve"> </w:t>
      </w:r>
      <w:r>
        <w:rPr>
          <w:rFonts w:ascii="Times New Roman" w:hAnsi="Times New Roman" w:cs="Times New Roman"/>
          <w:sz w:val="24"/>
          <w:szCs w:val="23"/>
        </w:rPr>
        <w:t>proc</w:t>
      </w:r>
      <w:r w:rsidRPr="00663CA6">
        <w:rPr>
          <w:rFonts w:ascii="Times New Roman" w:hAnsi="Times New Roman" w:cs="Times New Roman"/>
          <w:sz w:val="24"/>
          <w:szCs w:val="23"/>
        </w:rPr>
        <w:t xml:space="preserve">. Specialioji fizinio ugdymo grupė nuo 2016 m. iki 2018 m. </w:t>
      </w:r>
      <w:r>
        <w:rPr>
          <w:rFonts w:ascii="Times New Roman" w:hAnsi="Times New Roman" w:cs="Times New Roman"/>
          <w:sz w:val="24"/>
          <w:szCs w:val="23"/>
        </w:rPr>
        <w:t>padid</w:t>
      </w:r>
      <w:r w:rsidRPr="00663CA6">
        <w:rPr>
          <w:rFonts w:ascii="Times New Roman" w:hAnsi="Times New Roman" w:cs="Times New Roman"/>
          <w:sz w:val="24"/>
          <w:szCs w:val="23"/>
        </w:rPr>
        <w:t>ėjo 0,</w:t>
      </w:r>
      <w:r>
        <w:rPr>
          <w:rFonts w:ascii="Times New Roman" w:hAnsi="Times New Roman" w:cs="Times New Roman"/>
          <w:sz w:val="24"/>
          <w:szCs w:val="23"/>
        </w:rPr>
        <w:t>92</w:t>
      </w:r>
      <w:r w:rsidRPr="00663CA6">
        <w:rPr>
          <w:rFonts w:ascii="Times New Roman" w:hAnsi="Times New Roman" w:cs="Times New Roman"/>
          <w:sz w:val="24"/>
          <w:szCs w:val="23"/>
        </w:rPr>
        <w:t xml:space="preserve"> </w:t>
      </w:r>
      <w:r w:rsidR="00CE0F2B">
        <w:rPr>
          <w:rFonts w:ascii="Times New Roman" w:hAnsi="Times New Roman" w:cs="Times New Roman"/>
          <w:sz w:val="24"/>
          <w:szCs w:val="23"/>
        </w:rPr>
        <w:t>proc.</w:t>
      </w:r>
      <w:r w:rsidRPr="00663CA6">
        <w:rPr>
          <w:rFonts w:ascii="Times New Roman" w:hAnsi="Times New Roman" w:cs="Times New Roman"/>
          <w:sz w:val="24"/>
          <w:szCs w:val="23"/>
        </w:rPr>
        <w:t xml:space="preserve"> (</w:t>
      </w:r>
      <w:r>
        <w:rPr>
          <w:rFonts w:ascii="Times New Roman" w:hAnsi="Times New Roman" w:cs="Times New Roman"/>
          <w:sz w:val="24"/>
          <w:szCs w:val="23"/>
        </w:rPr>
        <w:t>5</w:t>
      </w:r>
      <w:r w:rsidRPr="00663CA6">
        <w:rPr>
          <w:rFonts w:ascii="Times New Roman" w:hAnsi="Times New Roman" w:cs="Times New Roman"/>
          <w:sz w:val="24"/>
          <w:szCs w:val="23"/>
        </w:rPr>
        <w:t xml:space="preserve"> pav.).</w:t>
      </w:r>
    </w:p>
    <w:p w:rsidR="0049141F" w:rsidRPr="00096025" w:rsidRDefault="00663CA6" w:rsidP="006E4F72">
      <w:pPr>
        <w:tabs>
          <w:tab w:val="left" w:pos="851"/>
        </w:tabs>
        <w:spacing w:after="0" w:line="360" w:lineRule="auto"/>
        <w:jc w:val="center"/>
        <w:rPr>
          <w:rFonts w:ascii="Times New Roman" w:hAnsi="Times New Roman" w:cs="Times New Roman"/>
          <w:b/>
          <w:sz w:val="36"/>
          <w:lang w:val="en-US"/>
        </w:rPr>
      </w:pPr>
      <w:r w:rsidRPr="00663CA6">
        <w:rPr>
          <w:rFonts w:ascii="Times New Roman" w:hAnsi="Times New Roman" w:cs="Times New Roman"/>
          <w:b/>
          <w:noProof/>
          <w:sz w:val="36"/>
          <w:lang w:eastAsia="lt-LT"/>
        </w:rPr>
        <w:drawing>
          <wp:inline distT="0" distB="0" distL="0" distR="0">
            <wp:extent cx="5589917" cy="1690778"/>
            <wp:effectExtent l="0" t="0" r="0" b="0"/>
            <wp:docPr id="9"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3CA6" w:rsidRDefault="00663CA6" w:rsidP="006E4F72">
      <w:pPr>
        <w:tabs>
          <w:tab w:val="left" w:pos="851"/>
        </w:tabs>
        <w:spacing w:after="0" w:line="360" w:lineRule="auto"/>
        <w:jc w:val="center"/>
        <w:rPr>
          <w:rFonts w:ascii="Times New Roman" w:hAnsi="Times New Roman" w:cs="Times New Roman"/>
          <w:b/>
          <w:lang w:val="en-US"/>
        </w:rPr>
      </w:pPr>
      <w:r>
        <w:rPr>
          <w:rFonts w:ascii="Times New Roman" w:hAnsi="Times New Roman" w:cs="Times New Roman"/>
          <w:lang w:val="en-US"/>
        </w:rPr>
        <w:t xml:space="preserve">5 </w:t>
      </w:r>
      <w:r w:rsidRPr="0091523E">
        <w:rPr>
          <w:rFonts w:ascii="Times New Roman" w:hAnsi="Times New Roman" w:cs="Times New Roman"/>
          <w:lang w:val="en-US"/>
        </w:rPr>
        <w:t>pav.</w:t>
      </w:r>
      <w:r>
        <w:rPr>
          <w:rFonts w:ascii="Times New Roman" w:hAnsi="Times New Roman" w:cs="Times New Roman"/>
          <w:b/>
          <w:lang w:val="en-US"/>
        </w:rPr>
        <w:t xml:space="preserve"> 7-17 m. amžiaus vaikų fizinio aktyvumo</w:t>
      </w:r>
      <w:r w:rsidR="003A57E1">
        <w:rPr>
          <w:rFonts w:ascii="Times New Roman" w:hAnsi="Times New Roman" w:cs="Times New Roman"/>
          <w:b/>
          <w:lang w:val="en-US"/>
        </w:rPr>
        <w:t xml:space="preserve"> </w:t>
      </w:r>
      <w:r>
        <w:rPr>
          <w:rFonts w:ascii="Times New Roman" w:hAnsi="Times New Roman" w:cs="Times New Roman"/>
          <w:b/>
          <w:lang w:val="en-US"/>
        </w:rPr>
        <w:t>grupių įvertinimas procentais 2016-</w:t>
      </w:r>
      <w:r w:rsidRPr="0091523E">
        <w:rPr>
          <w:rFonts w:ascii="Times New Roman" w:hAnsi="Times New Roman" w:cs="Times New Roman"/>
          <w:b/>
          <w:lang w:val="en-US"/>
        </w:rPr>
        <w:t>2018 m.</w:t>
      </w:r>
    </w:p>
    <w:p w:rsidR="00714824" w:rsidRDefault="00714824" w:rsidP="006E4F72">
      <w:pPr>
        <w:tabs>
          <w:tab w:val="left" w:pos="851"/>
        </w:tabs>
        <w:spacing w:after="0" w:line="360" w:lineRule="auto"/>
        <w:jc w:val="center"/>
        <w:rPr>
          <w:rFonts w:ascii="Times New Roman" w:hAnsi="Times New Roman" w:cs="Times New Roman"/>
          <w:b/>
          <w:lang w:val="en-US"/>
        </w:rPr>
      </w:pPr>
    </w:p>
    <w:p w:rsidR="00663CA6" w:rsidRDefault="00D20E43" w:rsidP="006E4F72">
      <w:pPr>
        <w:spacing w:before="240" w:line="360" w:lineRule="auto"/>
        <w:jc w:val="center"/>
        <w:rPr>
          <w:rFonts w:ascii="Times New Roman" w:hAnsi="Times New Roman" w:cs="Times New Roman"/>
          <w:b/>
          <w:sz w:val="28"/>
          <w:lang w:val="en-US"/>
        </w:rPr>
      </w:pPr>
      <w:r w:rsidRPr="00D20E43">
        <w:rPr>
          <w:rFonts w:ascii="Times New Roman" w:hAnsi="Times New Roman" w:cs="Times New Roman"/>
          <w:b/>
          <w:sz w:val="28"/>
          <w:lang w:val="en-US"/>
        </w:rPr>
        <w:t>VAIKŲ DANTŲ IR ŽANDIKAULIŲ BŪKLĖS APŽVALGA</w:t>
      </w:r>
    </w:p>
    <w:p w:rsidR="00E75962" w:rsidRDefault="00D20E43" w:rsidP="006E4F72">
      <w:pPr>
        <w:pStyle w:val="Default"/>
        <w:tabs>
          <w:tab w:val="left" w:pos="851"/>
        </w:tabs>
        <w:spacing w:line="360" w:lineRule="auto"/>
        <w:jc w:val="both"/>
        <w:rPr>
          <w:rFonts w:ascii="Times New Roman" w:hAnsi="Times New Roman" w:cs="Times New Roman"/>
          <w:szCs w:val="23"/>
        </w:rPr>
      </w:pPr>
      <w:r>
        <w:rPr>
          <w:rFonts w:ascii="Times New Roman" w:hAnsi="Times New Roman" w:cs="Times New Roman"/>
          <w:szCs w:val="23"/>
        </w:rPr>
        <w:tab/>
      </w:r>
      <w:r w:rsidRPr="00D20E43">
        <w:rPr>
          <w:rFonts w:ascii="Times New Roman" w:hAnsi="Times New Roman" w:cs="Times New Roman"/>
          <w:szCs w:val="23"/>
        </w:rPr>
        <w:t>Atliekant kasmetinį vaiko sveikatos patikrinimą, gydytojas odontologas įvertina vaiko dantų, žandikaulių būklę ir rezultatus įrašo į Vaiko sveikatos pažymėjimo antra dalį ,,dantų ir žandikaulių būklės į</w:t>
      </w:r>
      <w:r w:rsidR="00AF0226">
        <w:rPr>
          <w:rFonts w:ascii="Times New Roman" w:hAnsi="Times New Roman" w:cs="Times New Roman"/>
          <w:szCs w:val="23"/>
        </w:rPr>
        <w:t xml:space="preserve">vertinimas”. </w:t>
      </w:r>
      <w:r w:rsidR="00F7392B" w:rsidRPr="00F7392B">
        <w:rPr>
          <w:rFonts w:ascii="Times New Roman" w:hAnsi="Times New Roman" w:cs="Times New Roman"/>
          <w:szCs w:val="23"/>
        </w:rPr>
        <w:t>Jeigu vaikui profilaktinio sveikatos patikrinimo metu gydytojas odontologas neranda pažeistų, plombuotų ir dėl ėduonies išrautų dantų – vaiko dantys yra sveiki. 2018 m. vaikai, kurių dantys yra sveiki, sudarė penktadalį (</w:t>
      </w:r>
      <w:r w:rsidR="00B001D7">
        <w:rPr>
          <w:rFonts w:ascii="Times New Roman" w:hAnsi="Times New Roman" w:cs="Times New Roman"/>
          <w:szCs w:val="23"/>
        </w:rPr>
        <w:t>2</w:t>
      </w:r>
      <w:r w:rsidR="00A31F3A">
        <w:rPr>
          <w:rFonts w:ascii="Times New Roman" w:hAnsi="Times New Roman" w:cs="Times New Roman"/>
          <w:szCs w:val="23"/>
        </w:rPr>
        <w:t>0,73</w:t>
      </w:r>
      <w:r w:rsidR="00F7392B" w:rsidRPr="00F7392B">
        <w:rPr>
          <w:rFonts w:ascii="Times New Roman" w:hAnsi="Times New Roman" w:cs="Times New Roman"/>
          <w:szCs w:val="23"/>
        </w:rPr>
        <w:t xml:space="preserve"> </w:t>
      </w:r>
      <w:r w:rsidR="00F7392B">
        <w:rPr>
          <w:rFonts w:ascii="Times New Roman" w:hAnsi="Times New Roman" w:cs="Times New Roman"/>
          <w:szCs w:val="23"/>
        </w:rPr>
        <w:t>proc.</w:t>
      </w:r>
      <w:r w:rsidR="00F7392B" w:rsidRPr="00F7392B">
        <w:rPr>
          <w:rFonts w:ascii="Times New Roman" w:hAnsi="Times New Roman" w:cs="Times New Roman"/>
          <w:szCs w:val="23"/>
        </w:rPr>
        <w:t xml:space="preserve">) vaikų, kuriems buvo atlikta dantų patikra. Šis rodiklis palyginus su 2017 m., išaugo </w:t>
      </w:r>
      <w:r w:rsidR="00B91E00">
        <w:rPr>
          <w:rFonts w:ascii="Times New Roman" w:hAnsi="Times New Roman" w:cs="Times New Roman"/>
          <w:szCs w:val="23"/>
        </w:rPr>
        <w:t>5,</w:t>
      </w:r>
      <w:r w:rsidR="00A31F3A">
        <w:rPr>
          <w:rFonts w:ascii="Times New Roman" w:hAnsi="Times New Roman" w:cs="Times New Roman"/>
          <w:szCs w:val="23"/>
        </w:rPr>
        <w:t>5</w:t>
      </w:r>
      <w:r w:rsidR="00AF0226">
        <w:rPr>
          <w:rFonts w:ascii="Times New Roman" w:hAnsi="Times New Roman" w:cs="Times New Roman"/>
          <w:szCs w:val="23"/>
        </w:rPr>
        <w:t>3</w:t>
      </w:r>
      <w:r w:rsidR="00B91E00">
        <w:rPr>
          <w:rFonts w:ascii="Times New Roman" w:hAnsi="Times New Roman" w:cs="Times New Roman"/>
          <w:szCs w:val="23"/>
        </w:rPr>
        <w:t xml:space="preserve"> </w:t>
      </w:r>
      <w:r w:rsidR="00B001D7">
        <w:rPr>
          <w:rFonts w:ascii="Times New Roman" w:hAnsi="Times New Roman" w:cs="Times New Roman"/>
          <w:szCs w:val="23"/>
        </w:rPr>
        <w:t>proc.</w:t>
      </w:r>
      <w:r w:rsidR="00F7392B" w:rsidRPr="00F7392B">
        <w:rPr>
          <w:rFonts w:ascii="Times New Roman" w:hAnsi="Times New Roman" w:cs="Times New Roman"/>
          <w:szCs w:val="23"/>
        </w:rPr>
        <w:t xml:space="preserve"> Palyginus su 2016 m., stebimas tokių vaikų dalies nežymus </w:t>
      </w:r>
      <w:r w:rsidR="00C10625">
        <w:rPr>
          <w:rFonts w:ascii="Times New Roman" w:hAnsi="Times New Roman" w:cs="Times New Roman"/>
          <w:szCs w:val="23"/>
        </w:rPr>
        <w:t>didėjimas</w:t>
      </w:r>
      <w:r w:rsidR="00F7392B" w:rsidRPr="00F7392B">
        <w:rPr>
          <w:rFonts w:ascii="Times New Roman" w:hAnsi="Times New Roman" w:cs="Times New Roman"/>
          <w:szCs w:val="23"/>
        </w:rPr>
        <w:t xml:space="preserve"> – </w:t>
      </w:r>
      <w:r w:rsidR="00A31F3A">
        <w:rPr>
          <w:rFonts w:ascii="Times New Roman" w:hAnsi="Times New Roman" w:cs="Times New Roman"/>
          <w:szCs w:val="23"/>
        </w:rPr>
        <w:t>1,87</w:t>
      </w:r>
      <w:r w:rsidR="00F7392B" w:rsidRPr="00F7392B">
        <w:rPr>
          <w:rFonts w:ascii="Times New Roman" w:hAnsi="Times New Roman" w:cs="Times New Roman"/>
          <w:szCs w:val="23"/>
        </w:rPr>
        <w:t xml:space="preserve"> </w:t>
      </w:r>
      <w:r w:rsidR="00C10625">
        <w:rPr>
          <w:rFonts w:ascii="Times New Roman" w:hAnsi="Times New Roman" w:cs="Times New Roman"/>
          <w:szCs w:val="23"/>
        </w:rPr>
        <w:t>proc.</w:t>
      </w:r>
      <w:r w:rsidR="00F7392B" w:rsidRPr="00F7392B">
        <w:rPr>
          <w:rFonts w:ascii="Times New Roman" w:hAnsi="Times New Roman" w:cs="Times New Roman"/>
          <w:szCs w:val="23"/>
        </w:rPr>
        <w:t xml:space="preserve"> (</w:t>
      </w:r>
      <w:r w:rsidR="00AF0226">
        <w:rPr>
          <w:rFonts w:ascii="Times New Roman" w:hAnsi="Times New Roman" w:cs="Times New Roman"/>
          <w:szCs w:val="23"/>
        </w:rPr>
        <w:t>6</w:t>
      </w:r>
      <w:r w:rsidR="00F7392B" w:rsidRPr="00F7392B">
        <w:rPr>
          <w:rFonts w:ascii="Times New Roman" w:hAnsi="Times New Roman" w:cs="Times New Roman"/>
          <w:szCs w:val="23"/>
        </w:rPr>
        <w:t xml:space="preserve"> pav.).</w:t>
      </w:r>
    </w:p>
    <w:p w:rsidR="00B001D7" w:rsidRPr="00F7392B" w:rsidRDefault="00B91E00" w:rsidP="006E4F72">
      <w:pPr>
        <w:tabs>
          <w:tab w:val="left" w:pos="851"/>
        </w:tabs>
        <w:spacing w:after="0" w:line="360" w:lineRule="auto"/>
        <w:jc w:val="center"/>
        <w:rPr>
          <w:rFonts w:ascii="Times New Roman" w:hAnsi="Times New Roman" w:cs="Times New Roman"/>
          <w:b/>
          <w:sz w:val="36"/>
          <w:lang w:val="en-US"/>
        </w:rPr>
      </w:pPr>
      <w:r>
        <w:rPr>
          <w:rFonts w:ascii="Times New Roman" w:hAnsi="Times New Roman" w:cs="Times New Roman"/>
          <w:b/>
          <w:noProof/>
          <w:sz w:val="36"/>
          <w:lang w:eastAsia="lt-LT"/>
        </w:rPr>
        <w:drawing>
          <wp:inline distT="0" distB="0" distL="0" distR="0">
            <wp:extent cx="4899804" cy="1147313"/>
            <wp:effectExtent l="0" t="0" r="0" b="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3970" w:rsidRDefault="00AF0226" w:rsidP="006E4F72">
      <w:pPr>
        <w:tabs>
          <w:tab w:val="left" w:pos="851"/>
        </w:tabs>
        <w:spacing w:line="360" w:lineRule="auto"/>
        <w:jc w:val="center"/>
        <w:rPr>
          <w:rFonts w:ascii="Times New Roman" w:hAnsi="Times New Roman" w:cs="Times New Roman"/>
          <w:b/>
          <w:lang w:val="en-US"/>
        </w:rPr>
      </w:pPr>
      <w:r>
        <w:rPr>
          <w:rFonts w:ascii="Times New Roman" w:hAnsi="Times New Roman" w:cs="Times New Roman"/>
          <w:lang w:val="en-US"/>
        </w:rPr>
        <w:t>6</w:t>
      </w:r>
      <w:r w:rsidR="00C10625">
        <w:rPr>
          <w:rFonts w:ascii="Times New Roman" w:hAnsi="Times New Roman" w:cs="Times New Roman"/>
          <w:lang w:val="en-US"/>
        </w:rPr>
        <w:t xml:space="preserve"> </w:t>
      </w:r>
      <w:r w:rsidR="00C10625" w:rsidRPr="0091523E">
        <w:rPr>
          <w:rFonts w:ascii="Times New Roman" w:hAnsi="Times New Roman" w:cs="Times New Roman"/>
          <w:lang w:val="en-US"/>
        </w:rPr>
        <w:t>pav.</w:t>
      </w:r>
      <w:r w:rsidR="00C10625">
        <w:rPr>
          <w:rFonts w:ascii="Times New Roman" w:hAnsi="Times New Roman" w:cs="Times New Roman"/>
          <w:b/>
          <w:lang w:val="en-US"/>
        </w:rPr>
        <w:t xml:space="preserve"> 7-17 m. amžiaus vaikai, kurių dantys sveiki, dalis procentais 2016-</w:t>
      </w:r>
      <w:r w:rsidR="00C10625" w:rsidRPr="0091523E">
        <w:rPr>
          <w:rFonts w:ascii="Times New Roman" w:hAnsi="Times New Roman" w:cs="Times New Roman"/>
          <w:b/>
          <w:lang w:val="en-US"/>
        </w:rPr>
        <w:t>2018 m.</w:t>
      </w:r>
    </w:p>
    <w:p w:rsidR="00F7392B" w:rsidRDefault="00603970" w:rsidP="006E4F72">
      <w:pPr>
        <w:tabs>
          <w:tab w:val="left" w:pos="851"/>
        </w:tabs>
        <w:spacing w:after="0" w:line="360" w:lineRule="auto"/>
        <w:jc w:val="both"/>
        <w:rPr>
          <w:rFonts w:ascii="Times New Roman" w:hAnsi="Times New Roman" w:cs="Times New Roman"/>
          <w:sz w:val="24"/>
          <w:szCs w:val="23"/>
        </w:rPr>
      </w:pPr>
      <w:r>
        <w:rPr>
          <w:rFonts w:ascii="Times New Roman" w:hAnsi="Times New Roman" w:cs="Times New Roman"/>
          <w:sz w:val="24"/>
          <w:szCs w:val="23"/>
        </w:rPr>
        <w:tab/>
      </w:r>
      <w:r w:rsidRPr="00603970">
        <w:rPr>
          <w:rFonts w:ascii="Times New Roman" w:hAnsi="Times New Roman" w:cs="Times New Roman"/>
          <w:sz w:val="24"/>
          <w:szCs w:val="23"/>
        </w:rPr>
        <w:t>Profilaktinio sveikatos patikrinimo metu gydytojas odontologas taip pat įvertinta vaiko sąkandžio būklę. 2018 metais daugiau nei pusę vaikų (</w:t>
      </w:r>
      <w:r w:rsidR="00A653C9">
        <w:rPr>
          <w:rFonts w:ascii="Times New Roman" w:hAnsi="Times New Roman" w:cs="Times New Roman"/>
          <w:sz w:val="24"/>
          <w:szCs w:val="23"/>
        </w:rPr>
        <w:t>60,3</w:t>
      </w:r>
      <w:r>
        <w:rPr>
          <w:rFonts w:ascii="Times New Roman" w:hAnsi="Times New Roman" w:cs="Times New Roman"/>
          <w:sz w:val="24"/>
          <w:szCs w:val="23"/>
        </w:rPr>
        <w:t xml:space="preserve"> proc.</w:t>
      </w:r>
      <w:r w:rsidRPr="00603970">
        <w:rPr>
          <w:rFonts w:ascii="Times New Roman" w:hAnsi="Times New Roman" w:cs="Times New Roman"/>
          <w:sz w:val="24"/>
          <w:szCs w:val="23"/>
        </w:rPr>
        <w:t xml:space="preserve">) sąkandžio patologijos neturėjo. Šis rodiklis 2018 metais, palyginus su 2017 m., </w:t>
      </w:r>
      <w:r>
        <w:rPr>
          <w:rFonts w:ascii="Times New Roman" w:hAnsi="Times New Roman" w:cs="Times New Roman"/>
          <w:sz w:val="24"/>
          <w:szCs w:val="23"/>
        </w:rPr>
        <w:t>sumažėjo</w:t>
      </w:r>
      <w:r w:rsidRPr="00603970">
        <w:rPr>
          <w:rFonts w:ascii="Times New Roman" w:hAnsi="Times New Roman" w:cs="Times New Roman"/>
          <w:sz w:val="24"/>
          <w:szCs w:val="23"/>
        </w:rPr>
        <w:t xml:space="preserve"> </w:t>
      </w:r>
      <w:r w:rsidR="00A653C9">
        <w:rPr>
          <w:rFonts w:ascii="Times New Roman" w:hAnsi="Times New Roman" w:cs="Times New Roman"/>
          <w:sz w:val="24"/>
          <w:szCs w:val="23"/>
        </w:rPr>
        <w:t>2,8</w:t>
      </w:r>
      <w:r>
        <w:rPr>
          <w:rFonts w:ascii="Times New Roman" w:hAnsi="Times New Roman" w:cs="Times New Roman"/>
          <w:sz w:val="24"/>
          <w:szCs w:val="23"/>
        </w:rPr>
        <w:t xml:space="preserve"> proc. Kas ketvirtam vaikui (</w:t>
      </w:r>
      <w:r w:rsidR="00A653C9">
        <w:rPr>
          <w:rFonts w:ascii="Times New Roman" w:hAnsi="Times New Roman" w:cs="Times New Roman"/>
          <w:sz w:val="24"/>
          <w:szCs w:val="23"/>
        </w:rPr>
        <w:t>25,3</w:t>
      </w:r>
      <w:r>
        <w:rPr>
          <w:rFonts w:ascii="Times New Roman" w:hAnsi="Times New Roman" w:cs="Times New Roman"/>
          <w:sz w:val="24"/>
          <w:szCs w:val="23"/>
        </w:rPr>
        <w:t xml:space="preserve"> proc.</w:t>
      </w:r>
      <w:r w:rsidRPr="00603970">
        <w:rPr>
          <w:rFonts w:ascii="Times New Roman" w:hAnsi="Times New Roman" w:cs="Times New Roman"/>
          <w:sz w:val="24"/>
          <w:szCs w:val="23"/>
        </w:rPr>
        <w:t>) nustatyta pavienių dantų patologija. Palyginus su 2017 m., šis rodiklis kito nežymiai (</w:t>
      </w:r>
      <w:r>
        <w:rPr>
          <w:rFonts w:ascii="Times New Roman" w:hAnsi="Times New Roman" w:cs="Times New Roman"/>
          <w:sz w:val="24"/>
          <w:szCs w:val="23"/>
        </w:rPr>
        <w:t>padidėjo</w:t>
      </w:r>
      <w:r w:rsidRPr="00603970">
        <w:rPr>
          <w:rFonts w:ascii="Times New Roman" w:hAnsi="Times New Roman" w:cs="Times New Roman"/>
          <w:sz w:val="24"/>
          <w:szCs w:val="23"/>
        </w:rPr>
        <w:t xml:space="preserve"> </w:t>
      </w:r>
      <w:r w:rsidR="00A653C9">
        <w:rPr>
          <w:rFonts w:ascii="Times New Roman" w:hAnsi="Times New Roman" w:cs="Times New Roman"/>
          <w:sz w:val="24"/>
          <w:szCs w:val="23"/>
        </w:rPr>
        <w:t>0,2</w:t>
      </w:r>
      <w:r w:rsidRPr="00603970">
        <w:rPr>
          <w:rFonts w:ascii="Times New Roman" w:hAnsi="Times New Roman" w:cs="Times New Roman"/>
          <w:sz w:val="24"/>
          <w:szCs w:val="23"/>
        </w:rPr>
        <w:t xml:space="preserve"> </w:t>
      </w:r>
      <w:r>
        <w:rPr>
          <w:rFonts w:ascii="Times New Roman" w:hAnsi="Times New Roman" w:cs="Times New Roman"/>
          <w:sz w:val="24"/>
          <w:szCs w:val="23"/>
        </w:rPr>
        <w:t>proc.</w:t>
      </w:r>
      <w:r w:rsidRPr="00603970">
        <w:rPr>
          <w:rFonts w:ascii="Times New Roman" w:hAnsi="Times New Roman" w:cs="Times New Roman"/>
          <w:sz w:val="24"/>
          <w:szCs w:val="23"/>
        </w:rPr>
        <w:t xml:space="preserve">). Pavienių dantų ir žandikaulių patologija nustatyta </w:t>
      </w:r>
      <w:r w:rsidR="002C22F1">
        <w:rPr>
          <w:rFonts w:ascii="Times New Roman" w:hAnsi="Times New Roman" w:cs="Times New Roman"/>
          <w:sz w:val="24"/>
          <w:szCs w:val="23"/>
        </w:rPr>
        <w:t>0,3</w:t>
      </w:r>
      <w:r w:rsidRPr="00603970">
        <w:rPr>
          <w:rFonts w:ascii="Times New Roman" w:hAnsi="Times New Roman" w:cs="Times New Roman"/>
          <w:sz w:val="24"/>
          <w:szCs w:val="23"/>
        </w:rPr>
        <w:t xml:space="preserve"> procentams vaikų (</w:t>
      </w:r>
      <w:r w:rsidR="00AF0226">
        <w:rPr>
          <w:rFonts w:ascii="Times New Roman" w:hAnsi="Times New Roman" w:cs="Times New Roman"/>
          <w:sz w:val="24"/>
          <w:szCs w:val="23"/>
        </w:rPr>
        <w:t>7</w:t>
      </w:r>
      <w:r w:rsidRPr="00603970">
        <w:rPr>
          <w:rFonts w:ascii="Times New Roman" w:hAnsi="Times New Roman" w:cs="Times New Roman"/>
          <w:sz w:val="24"/>
          <w:szCs w:val="23"/>
        </w:rPr>
        <w:t xml:space="preserve"> pav.). Rodiklis, palyginus su 2017 m., </w:t>
      </w:r>
      <w:r w:rsidR="002C22F1">
        <w:rPr>
          <w:rFonts w:ascii="Times New Roman" w:hAnsi="Times New Roman" w:cs="Times New Roman"/>
          <w:sz w:val="24"/>
          <w:szCs w:val="23"/>
        </w:rPr>
        <w:t>sumažėjo</w:t>
      </w:r>
      <w:r w:rsidRPr="00603970">
        <w:rPr>
          <w:rFonts w:ascii="Times New Roman" w:hAnsi="Times New Roman" w:cs="Times New Roman"/>
          <w:sz w:val="24"/>
          <w:szCs w:val="23"/>
        </w:rPr>
        <w:t xml:space="preserve"> 0,</w:t>
      </w:r>
      <w:r w:rsidR="00A653C9">
        <w:rPr>
          <w:rFonts w:ascii="Times New Roman" w:hAnsi="Times New Roman" w:cs="Times New Roman"/>
          <w:sz w:val="24"/>
          <w:szCs w:val="23"/>
        </w:rPr>
        <w:t>5</w:t>
      </w:r>
      <w:r w:rsidRPr="00603970">
        <w:rPr>
          <w:rFonts w:ascii="Times New Roman" w:hAnsi="Times New Roman" w:cs="Times New Roman"/>
          <w:sz w:val="24"/>
          <w:szCs w:val="23"/>
        </w:rPr>
        <w:t xml:space="preserve"> procento. Didžiausias pokytis 2018 metais, </w:t>
      </w:r>
      <w:r w:rsidRPr="00603970">
        <w:rPr>
          <w:rFonts w:ascii="Times New Roman" w:hAnsi="Times New Roman" w:cs="Times New Roman"/>
          <w:sz w:val="24"/>
          <w:szCs w:val="23"/>
        </w:rPr>
        <w:lastRenderedPageBreak/>
        <w:t>palyginus su 2017 m. stebimas vaikų, turinčių žandikaulių patologiją (</w:t>
      </w:r>
      <w:r w:rsidR="002C22F1">
        <w:rPr>
          <w:rFonts w:ascii="Times New Roman" w:hAnsi="Times New Roman" w:cs="Times New Roman"/>
          <w:sz w:val="24"/>
          <w:szCs w:val="23"/>
        </w:rPr>
        <w:t>14,</w:t>
      </w:r>
      <w:r w:rsidR="00A653C9">
        <w:rPr>
          <w:rFonts w:ascii="Times New Roman" w:hAnsi="Times New Roman" w:cs="Times New Roman"/>
          <w:sz w:val="24"/>
          <w:szCs w:val="23"/>
        </w:rPr>
        <w:t>1</w:t>
      </w:r>
      <w:r w:rsidRPr="00603970">
        <w:rPr>
          <w:rFonts w:ascii="Times New Roman" w:hAnsi="Times New Roman" w:cs="Times New Roman"/>
          <w:sz w:val="24"/>
          <w:szCs w:val="23"/>
        </w:rPr>
        <w:t xml:space="preserve"> %), </w:t>
      </w:r>
      <w:r w:rsidR="002C22F1">
        <w:rPr>
          <w:rFonts w:ascii="Times New Roman" w:hAnsi="Times New Roman" w:cs="Times New Roman"/>
          <w:sz w:val="24"/>
          <w:szCs w:val="23"/>
        </w:rPr>
        <w:t>padidėjo</w:t>
      </w:r>
      <w:r w:rsidRPr="00603970">
        <w:rPr>
          <w:rFonts w:ascii="Times New Roman" w:hAnsi="Times New Roman" w:cs="Times New Roman"/>
          <w:sz w:val="24"/>
          <w:szCs w:val="23"/>
        </w:rPr>
        <w:t xml:space="preserve"> </w:t>
      </w:r>
      <w:r w:rsidR="00A653C9">
        <w:rPr>
          <w:rFonts w:ascii="Times New Roman" w:hAnsi="Times New Roman" w:cs="Times New Roman"/>
          <w:sz w:val="24"/>
          <w:szCs w:val="23"/>
        </w:rPr>
        <w:t>3,2</w:t>
      </w:r>
      <w:r w:rsidRPr="00603970">
        <w:rPr>
          <w:rFonts w:ascii="Times New Roman" w:hAnsi="Times New Roman" w:cs="Times New Roman"/>
          <w:sz w:val="24"/>
          <w:szCs w:val="23"/>
        </w:rPr>
        <w:t xml:space="preserve"> procento. 2018 m. </w:t>
      </w:r>
      <w:r w:rsidR="00DF77B7">
        <w:rPr>
          <w:rFonts w:ascii="Times New Roman" w:hAnsi="Times New Roman" w:cs="Times New Roman"/>
          <w:sz w:val="24"/>
          <w:szCs w:val="23"/>
        </w:rPr>
        <w:t>0,2</w:t>
      </w:r>
      <w:r w:rsidR="00A653C9">
        <w:rPr>
          <w:rFonts w:ascii="Times New Roman" w:hAnsi="Times New Roman" w:cs="Times New Roman"/>
          <w:sz w:val="24"/>
          <w:szCs w:val="23"/>
        </w:rPr>
        <w:t xml:space="preserve"> proc. </w:t>
      </w:r>
      <w:r w:rsidRPr="00603970">
        <w:rPr>
          <w:rFonts w:ascii="Times New Roman" w:hAnsi="Times New Roman" w:cs="Times New Roman"/>
          <w:sz w:val="24"/>
          <w:szCs w:val="23"/>
        </w:rPr>
        <w:t>7–17 amžiaus vaikų profilaktinės sveikatos patikros metu neįvertinta sąkandžio būklė.</w:t>
      </w:r>
    </w:p>
    <w:p w:rsidR="00F73EF6" w:rsidRDefault="00F73EF6" w:rsidP="006E4F72">
      <w:pPr>
        <w:tabs>
          <w:tab w:val="left" w:pos="851"/>
        </w:tabs>
        <w:spacing w:after="0" w:line="360" w:lineRule="auto"/>
        <w:jc w:val="center"/>
        <w:rPr>
          <w:rFonts w:ascii="Times New Roman" w:hAnsi="Times New Roman" w:cs="Times New Roman"/>
          <w:b/>
          <w:sz w:val="36"/>
          <w:lang w:val="en-US"/>
        </w:rPr>
      </w:pPr>
      <w:r>
        <w:rPr>
          <w:rFonts w:ascii="Times New Roman" w:hAnsi="Times New Roman" w:cs="Times New Roman"/>
          <w:b/>
          <w:noProof/>
          <w:sz w:val="36"/>
          <w:lang w:eastAsia="lt-LT"/>
        </w:rPr>
        <w:drawing>
          <wp:inline distT="0" distB="0" distL="0" distR="0">
            <wp:extent cx="4761781" cy="1966822"/>
            <wp:effectExtent l="0" t="0" r="0" b="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2288" w:rsidRDefault="00AF0226" w:rsidP="006E4F72">
      <w:pPr>
        <w:tabs>
          <w:tab w:val="left" w:pos="851"/>
        </w:tabs>
        <w:spacing w:after="0" w:line="360" w:lineRule="auto"/>
        <w:jc w:val="center"/>
        <w:rPr>
          <w:rFonts w:ascii="Times New Roman" w:hAnsi="Times New Roman" w:cs="Times New Roman"/>
          <w:b/>
          <w:lang w:val="en-US"/>
        </w:rPr>
      </w:pPr>
      <w:r>
        <w:rPr>
          <w:rFonts w:ascii="Times New Roman" w:hAnsi="Times New Roman" w:cs="Times New Roman"/>
          <w:lang w:val="en-US"/>
        </w:rPr>
        <w:t>7</w:t>
      </w:r>
      <w:r w:rsidR="009B2288">
        <w:rPr>
          <w:rFonts w:ascii="Times New Roman" w:hAnsi="Times New Roman" w:cs="Times New Roman"/>
          <w:lang w:val="en-US"/>
        </w:rPr>
        <w:t xml:space="preserve"> </w:t>
      </w:r>
      <w:r w:rsidR="009B2288" w:rsidRPr="0091523E">
        <w:rPr>
          <w:rFonts w:ascii="Times New Roman" w:hAnsi="Times New Roman" w:cs="Times New Roman"/>
          <w:lang w:val="en-US"/>
        </w:rPr>
        <w:t>pav.</w:t>
      </w:r>
      <w:r w:rsidR="009B2288">
        <w:rPr>
          <w:rFonts w:ascii="Times New Roman" w:hAnsi="Times New Roman" w:cs="Times New Roman"/>
          <w:b/>
          <w:lang w:val="en-US"/>
        </w:rPr>
        <w:t xml:space="preserve"> 7-17 m. amžiaus vaikų sąkandžio patologijos įvertinimas procentais </w:t>
      </w:r>
      <w:r w:rsidR="009B2288" w:rsidRPr="0091523E">
        <w:rPr>
          <w:rFonts w:ascii="Times New Roman" w:hAnsi="Times New Roman" w:cs="Times New Roman"/>
          <w:b/>
          <w:lang w:val="en-US"/>
        </w:rPr>
        <w:t>2018 m.</w:t>
      </w:r>
    </w:p>
    <w:p w:rsidR="009B2288" w:rsidRDefault="009B2288" w:rsidP="006E4F72">
      <w:pPr>
        <w:tabs>
          <w:tab w:val="left" w:pos="851"/>
        </w:tabs>
        <w:spacing w:after="0" w:line="360" w:lineRule="auto"/>
        <w:jc w:val="center"/>
        <w:rPr>
          <w:rFonts w:ascii="Times New Roman" w:hAnsi="Times New Roman" w:cs="Times New Roman"/>
          <w:b/>
          <w:lang w:val="en-US"/>
        </w:rPr>
      </w:pPr>
    </w:p>
    <w:p w:rsidR="00840A60" w:rsidRPr="00714824" w:rsidRDefault="00714824" w:rsidP="006E4F72">
      <w:pPr>
        <w:spacing w:line="360" w:lineRule="auto"/>
        <w:jc w:val="center"/>
        <w:rPr>
          <w:rFonts w:ascii="Times New Roman" w:hAnsi="Times New Roman" w:cs="Times New Roman"/>
          <w:b/>
          <w:sz w:val="28"/>
          <w:lang w:val="en-US"/>
        </w:rPr>
      </w:pPr>
      <w:r w:rsidRPr="00714824">
        <w:rPr>
          <w:rFonts w:ascii="Times New Roman" w:hAnsi="Times New Roman" w:cs="Times New Roman"/>
          <w:b/>
          <w:sz w:val="28"/>
          <w:lang w:val="en-US"/>
        </w:rPr>
        <w:t xml:space="preserve">VAIKŲ LIGOTUMO RODIKLIŲ </w:t>
      </w:r>
      <w:r w:rsidR="009C343D" w:rsidRPr="00714824">
        <w:rPr>
          <w:rFonts w:ascii="Times New Roman" w:hAnsi="Times New Roman" w:cs="Times New Roman"/>
          <w:b/>
          <w:sz w:val="28"/>
          <w:lang w:val="en-US"/>
        </w:rPr>
        <w:t>APŽVALGA</w:t>
      </w:r>
      <w:r w:rsidR="001E1810" w:rsidRPr="00714824">
        <w:rPr>
          <w:rFonts w:ascii="Times New Roman" w:hAnsi="Times New Roman" w:cs="Times New Roman"/>
          <w:b/>
          <w:sz w:val="28"/>
          <w:lang w:val="en-US"/>
        </w:rPr>
        <w:t xml:space="preserve"> </w:t>
      </w:r>
    </w:p>
    <w:p w:rsidR="006F5821" w:rsidRPr="00F72CF2" w:rsidRDefault="006230EF" w:rsidP="006E4F72">
      <w:pPr>
        <w:tabs>
          <w:tab w:val="left" w:pos="851"/>
        </w:tabs>
        <w:spacing w:after="0" w:line="360" w:lineRule="auto"/>
        <w:jc w:val="both"/>
        <w:rPr>
          <w:rFonts w:ascii="Times New Roman" w:hAnsi="Times New Roman" w:cs="Times New Roman"/>
          <w:color w:val="FF0000"/>
          <w:sz w:val="24"/>
          <w:szCs w:val="23"/>
        </w:rPr>
      </w:pPr>
      <w:r>
        <w:rPr>
          <w:rFonts w:ascii="Times New Roman" w:hAnsi="Times New Roman" w:cs="Times New Roman"/>
          <w:color w:val="000000"/>
          <w:sz w:val="24"/>
          <w:szCs w:val="23"/>
        </w:rPr>
        <w:tab/>
      </w:r>
      <w:r w:rsidR="006F5821" w:rsidRPr="006F5821">
        <w:rPr>
          <w:rFonts w:ascii="Times New Roman" w:hAnsi="Times New Roman" w:cs="Times New Roman"/>
          <w:sz w:val="24"/>
          <w:szCs w:val="23"/>
        </w:rPr>
        <w:t>Vaiko profilaktinio sveikatos patikrinimo metu nesant sveikatos būklės sutrikimų, galinčių turėti įtakos vaiko dalyvavimui ugdymo procese, gydytojas Vaiko sveikatos pažymėjime nurodo, kad vaikas gali dalyvauti ugdymo veikloje be apribojimų.</w:t>
      </w:r>
      <w:r w:rsidR="006E4F72">
        <w:rPr>
          <w:rFonts w:ascii="Times New Roman" w:hAnsi="Times New Roman" w:cs="Times New Roman"/>
          <w:sz w:val="24"/>
          <w:szCs w:val="23"/>
        </w:rPr>
        <w:t xml:space="preserve"> </w:t>
      </w:r>
      <w:r w:rsidR="006F5821" w:rsidRPr="006F5821">
        <w:rPr>
          <w:rFonts w:ascii="Times New Roman" w:hAnsi="Times New Roman" w:cs="Times New Roman"/>
          <w:sz w:val="24"/>
          <w:szCs w:val="23"/>
        </w:rPr>
        <w:t xml:space="preserve">2018 m. 7–17 m. amžiaus vaikų grupėje ugdymo veikloje, įskaitant kūno kultūros ugdymą, be apribojimų galėjo dalyvauti </w:t>
      </w:r>
      <w:r w:rsidR="00A22AE2">
        <w:rPr>
          <w:rFonts w:ascii="Times New Roman" w:hAnsi="Times New Roman" w:cs="Times New Roman"/>
          <w:sz w:val="24"/>
          <w:szCs w:val="23"/>
        </w:rPr>
        <w:t>87</w:t>
      </w:r>
      <w:r w:rsidR="006F5821" w:rsidRPr="006F5821">
        <w:rPr>
          <w:rFonts w:ascii="Times New Roman" w:hAnsi="Times New Roman" w:cs="Times New Roman"/>
          <w:sz w:val="24"/>
          <w:szCs w:val="23"/>
        </w:rPr>
        <w:t xml:space="preserve"> </w:t>
      </w:r>
      <w:r w:rsidR="00A22AE2">
        <w:rPr>
          <w:rFonts w:ascii="Times New Roman" w:hAnsi="Times New Roman" w:cs="Times New Roman"/>
          <w:sz w:val="24"/>
          <w:szCs w:val="23"/>
        </w:rPr>
        <w:t>proc.</w:t>
      </w:r>
      <w:r w:rsidR="006F5821" w:rsidRPr="006F5821">
        <w:rPr>
          <w:rFonts w:ascii="Times New Roman" w:hAnsi="Times New Roman" w:cs="Times New Roman"/>
          <w:sz w:val="24"/>
          <w:szCs w:val="23"/>
        </w:rPr>
        <w:t xml:space="preserve"> profilaktiškai pasitikrinusių sveikatą vaikų. Vertinant pagal lytį, tiek mergaičių, tiek berniukų </w:t>
      </w:r>
      <w:r w:rsidR="006F5821" w:rsidRPr="001C70D0">
        <w:rPr>
          <w:rFonts w:ascii="Times New Roman" w:hAnsi="Times New Roman" w:cs="Times New Roman"/>
          <w:color w:val="000000" w:themeColor="text1"/>
          <w:sz w:val="24"/>
          <w:szCs w:val="23"/>
        </w:rPr>
        <w:t xml:space="preserve">grupėse be apribojimų ugdymo veikloje 2018 m. galėjo dalyvauti </w:t>
      </w:r>
      <w:r w:rsidR="00A22AE2" w:rsidRPr="001C70D0">
        <w:rPr>
          <w:rFonts w:ascii="Times New Roman" w:hAnsi="Times New Roman" w:cs="Times New Roman"/>
          <w:color w:val="000000" w:themeColor="text1"/>
          <w:sz w:val="24"/>
          <w:szCs w:val="23"/>
        </w:rPr>
        <w:t>87</w:t>
      </w:r>
      <w:r w:rsidR="006F5821" w:rsidRPr="001C70D0">
        <w:rPr>
          <w:rFonts w:ascii="Times New Roman" w:hAnsi="Times New Roman" w:cs="Times New Roman"/>
          <w:color w:val="000000" w:themeColor="text1"/>
          <w:sz w:val="24"/>
          <w:szCs w:val="23"/>
        </w:rPr>
        <w:t xml:space="preserve"> </w:t>
      </w:r>
      <w:r w:rsidR="00B759EE" w:rsidRPr="001C70D0">
        <w:rPr>
          <w:rFonts w:ascii="Times New Roman" w:hAnsi="Times New Roman" w:cs="Times New Roman"/>
          <w:color w:val="000000" w:themeColor="text1"/>
          <w:sz w:val="24"/>
          <w:szCs w:val="23"/>
        </w:rPr>
        <w:t>proc.</w:t>
      </w:r>
      <w:r w:rsidR="006F5821" w:rsidRPr="001C70D0">
        <w:rPr>
          <w:rFonts w:ascii="Times New Roman" w:hAnsi="Times New Roman" w:cs="Times New Roman"/>
          <w:color w:val="000000" w:themeColor="text1"/>
          <w:sz w:val="24"/>
          <w:szCs w:val="23"/>
        </w:rPr>
        <w:t xml:space="preserve"> Ši vaikų dalis, palyginus su 2017 m., sumažėjo </w:t>
      </w:r>
      <w:r w:rsidR="00F72CF2" w:rsidRPr="001C70D0">
        <w:rPr>
          <w:rFonts w:ascii="Times New Roman" w:hAnsi="Times New Roman" w:cs="Times New Roman"/>
          <w:color w:val="000000" w:themeColor="text1"/>
          <w:sz w:val="24"/>
          <w:szCs w:val="23"/>
        </w:rPr>
        <w:t>3</w:t>
      </w:r>
      <w:r w:rsidR="006F5821" w:rsidRPr="001C70D0">
        <w:rPr>
          <w:rFonts w:ascii="Times New Roman" w:hAnsi="Times New Roman" w:cs="Times New Roman"/>
          <w:color w:val="000000" w:themeColor="text1"/>
          <w:sz w:val="24"/>
          <w:szCs w:val="23"/>
        </w:rPr>
        <w:t xml:space="preserve"> </w:t>
      </w:r>
      <w:r w:rsidR="00B759EE" w:rsidRPr="001C70D0">
        <w:rPr>
          <w:rFonts w:ascii="Times New Roman" w:hAnsi="Times New Roman" w:cs="Times New Roman"/>
          <w:color w:val="000000" w:themeColor="text1"/>
          <w:sz w:val="24"/>
          <w:szCs w:val="23"/>
        </w:rPr>
        <w:t>proc.</w:t>
      </w:r>
      <w:r w:rsidR="006F5821" w:rsidRPr="001C70D0">
        <w:rPr>
          <w:rFonts w:ascii="Times New Roman" w:hAnsi="Times New Roman" w:cs="Times New Roman"/>
          <w:color w:val="000000" w:themeColor="text1"/>
          <w:sz w:val="24"/>
          <w:szCs w:val="23"/>
        </w:rPr>
        <w:t xml:space="preserve"> Palyginus su 2016–2018 m. laikotarpiu, tokių vaikų dalis </w:t>
      </w:r>
      <w:r w:rsidR="00B759EE" w:rsidRPr="001C70D0">
        <w:rPr>
          <w:rFonts w:ascii="Times New Roman" w:hAnsi="Times New Roman" w:cs="Times New Roman"/>
          <w:color w:val="000000" w:themeColor="text1"/>
          <w:sz w:val="24"/>
          <w:szCs w:val="23"/>
        </w:rPr>
        <w:t>sumažėjo</w:t>
      </w:r>
      <w:r w:rsidR="006F5821" w:rsidRPr="001C70D0">
        <w:rPr>
          <w:rFonts w:ascii="Times New Roman" w:hAnsi="Times New Roman" w:cs="Times New Roman"/>
          <w:color w:val="000000" w:themeColor="text1"/>
          <w:sz w:val="24"/>
          <w:szCs w:val="23"/>
        </w:rPr>
        <w:t xml:space="preserve"> </w:t>
      </w:r>
      <w:r w:rsidR="00B759EE" w:rsidRPr="001C70D0">
        <w:rPr>
          <w:rFonts w:ascii="Times New Roman" w:hAnsi="Times New Roman" w:cs="Times New Roman"/>
          <w:color w:val="000000" w:themeColor="text1"/>
          <w:sz w:val="24"/>
          <w:szCs w:val="23"/>
        </w:rPr>
        <w:t>10</w:t>
      </w:r>
      <w:r w:rsidR="006F5821" w:rsidRPr="001C70D0">
        <w:rPr>
          <w:rFonts w:ascii="Times New Roman" w:hAnsi="Times New Roman" w:cs="Times New Roman"/>
          <w:color w:val="000000" w:themeColor="text1"/>
          <w:sz w:val="24"/>
          <w:szCs w:val="23"/>
        </w:rPr>
        <w:t xml:space="preserve"> proc.</w:t>
      </w:r>
      <w:r w:rsidR="006F5821" w:rsidRPr="00F72CF2">
        <w:rPr>
          <w:rFonts w:ascii="Times New Roman" w:hAnsi="Times New Roman" w:cs="Times New Roman"/>
          <w:color w:val="FF0000"/>
          <w:sz w:val="24"/>
          <w:szCs w:val="23"/>
        </w:rPr>
        <w:t xml:space="preserve"> </w:t>
      </w:r>
    </w:p>
    <w:p w:rsidR="00714824" w:rsidRDefault="00714824" w:rsidP="006E4F72">
      <w:pPr>
        <w:tabs>
          <w:tab w:val="left" w:pos="851"/>
        </w:tabs>
        <w:spacing w:line="360" w:lineRule="auto"/>
        <w:jc w:val="both"/>
        <w:rPr>
          <w:rFonts w:ascii="Times New Roman" w:hAnsi="Times New Roman" w:cs="Times New Roman"/>
          <w:sz w:val="24"/>
          <w:szCs w:val="23"/>
        </w:rPr>
      </w:pPr>
      <w:r>
        <w:rPr>
          <w:rFonts w:ascii="Times New Roman" w:hAnsi="Times New Roman" w:cs="Times New Roman"/>
          <w:noProof/>
          <w:sz w:val="24"/>
          <w:szCs w:val="23"/>
          <w:lang w:eastAsia="lt-LT"/>
        </w:rPr>
        <w:drawing>
          <wp:inline distT="0" distB="0" distL="0" distR="0">
            <wp:extent cx="6231506" cy="1104182"/>
            <wp:effectExtent l="0" t="0" r="17145" b="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10581" w:rsidRDefault="00760D8D" w:rsidP="006E4F72">
      <w:pPr>
        <w:tabs>
          <w:tab w:val="left" w:pos="851"/>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3"/>
        </w:rPr>
        <w:tab/>
      </w:r>
      <w:r w:rsidR="005544EC" w:rsidRPr="00AA2AB2">
        <w:rPr>
          <w:rFonts w:ascii="Times New Roman" w:hAnsi="Times New Roman" w:cs="Times New Roman"/>
          <w:sz w:val="24"/>
          <w:szCs w:val="24"/>
        </w:rPr>
        <w:t>Remiantis Privalomojo sveikatos draudimo informacinės sistemos „Sveidra“ duomenimis 2018 metais ligų grupės, kuriose buvo daugiausiai sergančių 7–17 m. amžiaus vaikų išliko tos pačios, kaip ir 2017 metais. Daugiausiai sergančių vaikų kvėpavimo sistemos ligomis (</w:t>
      </w:r>
      <w:r w:rsidR="00904C13" w:rsidRPr="00AA2AB2">
        <w:rPr>
          <w:rFonts w:ascii="Times New Roman" w:hAnsi="Times New Roman" w:cs="Times New Roman"/>
          <w:sz w:val="24"/>
          <w:szCs w:val="24"/>
        </w:rPr>
        <w:t>33,72</w:t>
      </w:r>
      <w:r w:rsidR="005544EC" w:rsidRPr="00AA2AB2">
        <w:rPr>
          <w:rFonts w:ascii="Times New Roman" w:hAnsi="Times New Roman" w:cs="Times New Roman"/>
          <w:sz w:val="24"/>
          <w:szCs w:val="24"/>
        </w:rPr>
        <w:t xml:space="preserve"> atvej</w:t>
      </w:r>
      <w:r w:rsidR="0065369D" w:rsidRPr="00AA2AB2">
        <w:rPr>
          <w:rFonts w:ascii="Times New Roman" w:hAnsi="Times New Roman" w:cs="Times New Roman"/>
          <w:sz w:val="24"/>
          <w:szCs w:val="24"/>
        </w:rPr>
        <w:t>ai</w:t>
      </w:r>
      <w:r w:rsidR="005544EC" w:rsidRPr="00AA2AB2">
        <w:rPr>
          <w:rFonts w:ascii="Times New Roman" w:hAnsi="Times New Roman" w:cs="Times New Roman"/>
          <w:sz w:val="24"/>
          <w:szCs w:val="24"/>
        </w:rPr>
        <w:t xml:space="preserve"> 1000 gyv.). Šioje ligų grupėje didžiausią atvejų dalį sudarė ūminės viršutinių kvėpavimo takų</w:t>
      </w:r>
      <w:r w:rsidR="00794137" w:rsidRPr="00AA2AB2">
        <w:rPr>
          <w:rFonts w:ascii="Times New Roman" w:hAnsi="Times New Roman" w:cs="Times New Roman"/>
          <w:sz w:val="24"/>
          <w:szCs w:val="24"/>
        </w:rPr>
        <w:t xml:space="preserve"> infekcijos</w:t>
      </w:r>
      <w:r w:rsidR="005544EC" w:rsidRPr="00AA2AB2">
        <w:rPr>
          <w:rFonts w:ascii="Times New Roman" w:hAnsi="Times New Roman" w:cs="Times New Roman"/>
          <w:sz w:val="24"/>
          <w:szCs w:val="24"/>
        </w:rPr>
        <w:t xml:space="preserve">. Antroje vietoje – </w:t>
      </w:r>
      <w:r w:rsidR="00794137" w:rsidRPr="00AA2AB2">
        <w:rPr>
          <w:rFonts w:ascii="Times New Roman" w:hAnsi="Times New Roman" w:cs="Times New Roman"/>
          <w:sz w:val="24"/>
          <w:szCs w:val="24"/>
        </w:rPr>
        <w:t>virškinimo sistemos ligos (1</w:t>
      </w:r>
      <w:r w:rsidR="00904C13" w:rsidRPr="00AA2AB2">
        <w:rPr>
          <w:rFonts w:ascii="Times New Roman" w:hAnsi="Times New Roman" w:cs="Times New Roman"/>
          <w:sz w:val="24"/>
          <w:szCs w:val="24"/>
        </w:rPr>
        <w:t>7</w:t>
      </w:r>
      <w:r w:rsidR="00794137" w:rsidRPr="00AA2AB2">
        <w:rPr>
          <w:rFonts w:ascii="Times New Roman" w:hAnsi="Times New Roman" w:cs="Times New Roman"/>
          <w:sz w:val="24"/>
          <w:szCs w:val="24"/>
        </w:rPr>
        <w:t>,</w:t>
      </w:r>
      <w:r w:rsidR="00904C13" w:rsidRPr="00AA2AB2">
        <w:rPr>
          <w:rFonts w:ascii="Times New Roman" w:hAnsi="Times New Roman" w:cs="Times New Roman"/>
          <w:sz w:val="24"/>
          <w:szCs w:val="24"/>
        </w:rPr>
        <w:t>15</w:t>
      </w:r>
      <w:r w:rsidR="00794137" w:rsidRPr="00AA2AB2">
        <w:rPr>
          <w:rFonts w:ascii="Times New Roman" w:hAnsi="Times New Roman" w:cs="Times New Roman"/>
          <w:sz w:val="24"/>
          <w:szCs w:val="24"/>
        </w:rPr>
        <w:t xml:space="preserve"> atvej</w:t>
      </w:r>
      <w:r w:rsidR="00904C13" w:rsidRPr="00AA2AB2">
        <w:rPr>
          <w:rFonts w:ascii="Times New Roman" w:hAnsi="Times New Roman" w:cs="Times New Roman"/>
          <w:sz w:val="24"/>
          <w:szCs w:val="24"/>
        </w:rPr>
        <w:t>ų</w:t>
      </w:r>
      <w:r w:rsidR="00794137" w:rsidRPr="00AA2AB2">
        <w:rPr>
          <w:rFonts w:ascii="Times New Roman" w:hAnsi="Times New Roman" w:cs="Times New Roman"/>
          <w:sz w:val="24"/>
          <w:szCs w:val="24"/>
        </w:rPr>
        <w:t xml:space="preserve"> 1000 gyv.). Šioje grupėje nustatytas didžiausias sergamumas dantų ligomis. </w:t>
      </w:r>
      <w:r w:rsidR="005544EC" w:rsidRPr="00AA2AB2">
        <w:rPr>
          <w:rFonts w:ascii="Times New Roman" w:hAnsi="Times New Roman" w:cs="Times New Roman"/>
          <w:sz w:val="24"/>
          <w:szCs w:val="24"/>
        </w:rPr>
        <w:t>Trečioje vietoje –</w:t>
      </w:r>
      <w:r w:rsidR="00794137" w:rsidRPr="00AA2AB2">
        <w:rPr>
          <w:rFonts w:ascii="Times New Roman" w:hAnsi="Times New Roman" w:cs="Times New Roman"/>
          <w:sz w:val="24"/>
          <w:szCs w:val="24"/>
        </w:rPr>
        <w:t xml:space="preserve"> </w:t>
      </w:r>
      <w:r w:rsidR="00904C13" w:rsidRPr="00AA2AB2">
        <w:rPr>
          <w:rFonts w:ascii="Times New Roman" w:hAnsi="Times New Roman" w:cs="Times New Roman"/>
          <w:sz w:val="24"/>
          <w:szCs w:val="24"/>
        </w:rPr>
        <w:t xml:space="preserve">tam tikros infekcinės ir parazitų sukeliamos ligos </w:t>
      </w:r>
      <w:r w:rsidR="00794137" w:rsidRPr="00AA2AB2">
        <w:rPr>
          <w:rFonts w:ascii="Times New Roman" w:hAnsi="Times New Roman" w:cs="Times New Roman"/>
          <w:sz w:val="24"/>
          <w:szCs w:val="24"/>
        </w:rPr>
        <w:t>(</w:t>
      </w:r>
      <w:r w:rsidR="00904C13" w:rsidRPr="00AA2AB2">
        <w:rPr>
          <w:rFonts w:ascii="Times New Roman" w:hAnsi="Times New Roman" w:cs="Times New Roman"/>
          <w:sz w:val="24"/>
          <w:szCs w:val="24"/>
        </w:rPr>
        <w:t>12,00</w:t>
      </w:r>
      <w:r w:rsidR="00794137" w:rsidRPr="00AA2AB2">
        <w:rPr>
          <w:rFonts w:ascii="Times New Roman" w:hAnsi="Times New Roman" w:cs="Times New Roman"/>
          <w:sz w:val="24"/>
          <w:szCs w:val="24"/>
        </w:rPr>
        <w:t xml:space="preserve"> atvej</w:t>
      </w:r>
      <w:r w:rsidR="00904C13" w:rsidRPr="00AA2AB2">
        <w:rPr>
          <w:rFonts w:ascii="Times New Roman" w:hAnsi="Times New Roman" w:cs="Times New Roman"/>
          <w:sz w:val="24"/>
          <w:szCs w:val="24"/>
        </w:rPr>
        <w:t>ų</w:t>
      </w:r>
      <w:r w:rsidR="00794137" w:rsidRPr="00AA2AB2">
        <w:rPr>
          <w:rFonts w:ascii="Times New Roman" w:hAnsi="Times New Roman" w:cs="Times New Roman"/>
          <w:sz w:val="24"/>
          <w:szCs w:val="24"/>
        </w:rPr>
        <w:t xml:space="preserve"> 1000 gyv.). </w:t>
      </w:r>
      <w:r w:rsidR="005C099B" w:rsidRPr="00AA2AB2">
        <w:rPr>
          <w:rFonts w:ascii="Times New Roman" w:hAnsi="Times New Roman" w:cs="Times New Roman"/>
          <w:sz w:val="24"/>
          <w:szCs w:val="24"/>
        </w:rPr>
        <w:t xml:space="preserve">Ketvirtoje vietoje </w:t>
      </w:r>
      <w:r w:rsidR="005544EC" w:rsidRPr="00AA2AB2">
        <w:rPr>
          <w:rFonts w:ascii="Times New Roman" w:hAnsi="Times New Roman" w:cs="Times New Roman"/>
          <w:sz w:val="24"/>
          <w:szCs w:val="24"/>
        </w:rPr>
        <w:t xml:space="preserve">– </w:t>
      </w:r>
      <w:r w:rsidR="005C099B" w:rsidRPr="00AA2AB2">
        <w:rPr>
          <w:rFonts w:ascii="Times New Roman" w:hAnsi="Times New Roman" w:cs="Times New Roman"/>
          <w:sz w:val="24"/>
          <w:szCs w:val="24"/>
        </w:rPr>
        <w:t>akies ir jos organų ligos</w:t>
      </w:r>
      <w:r w:rsidR="005544EC" w:rsidRPr="00AA2AB2">
        <w:rPr>
          <w:rFonts w:ascii="Times New Roman" w:hAnsi="Times New Roman" w:cs="Times New Roman"/>
          <w:sz w:val="24"/>
          <w:szCs w:val="24"/>
        </w:rPr>
        <w:t xml:space="preserve"> (</w:t>
      </w:r>
      <w:r w:rsidR="005C099B" w:rsidRPr="00AA2AB2">
        <w:rPr>
          <w:rFonts w:ascii="Times New Roman" w:hAnsi="Times New Roman" w:cs="Times New Roman"/>
          <w:sz w:val="24"/>
          <w:szCs w:val="24"/>
        </w:rPr>
        <w:t xml:space="preserve">6,86 </w:t>
      </w:r>
      <w:r w:rsidR="00A4219B" w:rsidRPr="00AA2AB2">
        <w:rPr>
          <w:rFonts w:ascii="Times New Roman" w:hAnsi="Times New Roman" w:cs="Times New Roman"/>
          <w:sz w:val="24"/>
          <w:szCs w:val="24"/>
        </w:rPr>
        <w:t xml:space="preserve">atvejai 1000 gyv.). </w:t>
      </w:r>
      <w:r w:rsidR="005544EC" w:rsidRPr="00AA2AB2">
        <w:rPr>
          <w:rFonts w:ascii="Times New Roman" w:hAnsi="Times New Roman" w:cs="Times New Roman"/>
          <w:sz w:val="24"/>
          <w:szCs w:val="24"/>
        </w:rPr>
        <w:t xml:space="preserve">Penktoje vietoje – </w:t>
      </w:r>
      <w:r w:rsidR="00A4219B" w:rsidRPr="00AA2AB2">
        <w:rPr>
          <w:rFonts w:ascii="Times New Roman" w:hAnsi="Times New Roman" w:cs="Times New Roman"/>
          <w:sz w:val="24"/>
          <w:szCs w:val="24"/>
        </w:rPr>
        <w:t>psichikos ir elgesio sutrikimai</w:t>
      </w:r>
      <w:r w:rsidR="005544EC" w:rsidRPr="00AA2AB2">
        <w:rPr>
          <w:rFonts w:ascii="Times New Roman" w:hAnsi="Times New Roman" w:cs="Times New Roman"/>
          <w:sz w:val="24"/>
          <w:szCs w:val="24"/>
        </w:rPr>
        <w:t xml:space="preserve"> (</w:t>
      </w:r>
      <w:r w:rsidR="00A4219B" w:rsidRPr="00AA2AB2">
        <w:rPr>
          <w:rFonts w:ascii="Times New Roman" w:hAnsi="Times New Roman" w:cs="Times New Roman"/>
          <w:sz w:val="24"/>
          <w:szCs w:val="24"/>
        </w:rPr>
        <w:t>4,57</w:t>
      </w:r>
      <w:r w:rsidR="005544EC" w:rsidRPr="00AA2AB2">
        <w:rPr>
          <w:rFonts w:ascii="Times New Roman" w:hAnsi="Times New Roman" w:cs="Times New Roman"/>
          <w:sz w:val="24"/>
          <w:szCs w:val="24"/>
        </w:rPr>
        <w:t xml:space="preserve"> atvejai 1000 gyv.).</w:t>
      </w:r>
      <w:r w:rsidR="00A4219B" w:rsidRPr="00AA2AB2">
        <w:rPr>
          <w:rFonts w:ascii="Times New Roman" w:hAnsi="Times New Roman" w:cs="Times New Roman"/>
          <w:sz w:val="24"/>
          <w:szCs w:val="24"/>
        </w:rPr>
        <w:t xml:space="preserve"> </w:t>
      </w:r>
      <w:r w:rsidR="00A4219B" w:rsidRPr="00AA2AB2">
        <w:rPr>
          <w:rFonts w:ascii="Times New Roman" w:hAnsi="Times New Roman" w:cs="Times New Roman"/>
          <w:sz w:val="24"/>
          <w:szCs w:val="24"/>
        </w:rPr>
        <w:lastRenderedPageBreak/>
        <w:t>7–17 m. amžiaus vaikai, kurioje 2,27 atvejus 1000 gyv. sudarė elgesio ir emocijų sutrikimai, prasidedantys vaikystėje ir paauglystėje.</w:t>
      </w:r>
      <w:r w:rsidR="005544EC" w:rsidRPr="00AA2AB2">
        <w:rPr>
          <w:rFonts w:ascii="Times New Roman" w:hAnsi="Times New Roman" w:cs="Times New Roman"/>
          <w:sz w:val="24"/>
          <w:szCs w:val="24"/>
        </w:rPr>
        <w:t xml:space="preserve"> </w:t>
      </w:r>
      <w:r w:rsidR="00A4219B" w:rsidRPr="00AA2AB2">
        <w:rPr>
          <w:rFonts w:ascii="Times New Roman" w:hAnsi="Times New Roman" w:cs="Times New Roman"/>
          <w:color w:val="000000"/>
          <w:sz w:val="24"/>
          <w:szCs w:val="24"/>
        </w:rPr>
        <w:t>Mažiausias sergamumas 2018 m. stebimas ligų grupėse: kraujo ir kraujodaros organų ligos bei tam tikri sutrikimai, susiję su imuniniais mechanizmais (0,86 atvejai 1000 gyv.), navikai (0,57 atvejai 1000 gyv.), bei ausies ir speninės ataugos ligos (0,57 atvejai 1000 gyv.) (2 lentelė).</w:t>
      </w:r>
    </w:p>
    <w:p w:rsidR="00AA2AB2" w:rsidRPr="00AA2AB2" w:rsidRDefault="00AA2AB2" w:rsidP="006E4F72">
      <w:pPr>
        <w:tabs>
          <w:tab w:val="left" w:pos="851"/>
        </w:tabs>
        <w:spacing w:after="0" w:line="360" w:lineRule="auto"/>
        <w:jc w:val="both"/>
        <w:rPr>
          <w:rFonts w:ascii="Times New Roman" w:hAnsi="Times New Roman" w:cs="Times New Roman"/>
          <w:color w:val="000000"/>
          <w:sz w:val="24"/>
          <w:szCs w:val="24"/>
        </w:rPr>
      </w:pPr>
    </w:p>
    <w:p w:rsidR="00310581" w:rsidRPr="006B6070" w:rsidRDefault="00176FB6" w:rsidP="006E4F72">
      <w:pPr>
        <w:spacing w:after="0" w:line="360" w:lineRule="auto"/>
        <w:jc w:val="both"/>
        <w:rPr>
          <w:rFonts w:ascii="Times New Roman" w:hAnsi="Times New Roman" w:cs="Times New Roman"/>
          <w:b/>
          <w:color w:val="000000"/>
          <w:szCs w:val="23"/>
        </w:rPr>
      </w:pPr>
      <w:r>
        <w:rPr>
          <w:rFonts w:ascii="Times New Roman" w:hAnsi="Times New Roman" w:cs="Times New Roman"/>
          <w:color w:val="000000"/>
          <w:szCs w:val="23"/>
        </w:rPr>
        <w:t>2</w:t>
      </w:r>
      <w:r w:rsidR="006B6070">
        <w:rPr>
          <w:rFonts w:ascii="Times New Roman" w:hAnsi="Times New Roman" w:cs="Times New Roman"/>
          <w:color w:val="000000"/>
          <w:szCs w:val="23"/>
        </w:rPr>
        <w:t xml:space="preserve"> </w:t>
      </w:r>
      <w:r w:rsidR="006B6070" w:rsidRPr="006B6070">
        <w:rPr>
          <w:rFonts w:ascii="Times New Roman" w:hAnsi="Times New Roman" w:cs="Times New Roman"/>
          <w:color w:val="000000"/>
          <w:szCs w:val="23"/>
        </w:rPr>
        <w:t>lentelė</w:t>
      </w:r>
      <w:r w:rsidR="006B6070">
        <w:rPr>
          <w:rFonts w:ascii="Times New Roman" w:hAnsi="Times New Roman" w:cs="Times New Roman"/>
          <w:color w:val="000000"/>
          <w:szCs w:val="23"/>
        </w:rPr>
        <w:t>.</w:t>
      </w:r>
      <w:r w:rsidR="006B6070" w:rsidRPr="006B6070">
        <w:rPr>
          <w:rFonts w:ascii="Times New Roman" w:hAnsi="Times New Roman" w:cs="Times New Roman"/>
          <w:color w:val="000000"/>
          <w:szCs w:val="23"/>
        </w:rPr>
        <w:t xml:space="preserve"> </w:t>
      </w:r>
      <w:r w:rsidR="00637184">
        <w:rPr>
          <w:rFonts w:ascii="Times New Roman" w:hAnsi="Times New Roman" w:cs="Times New Roman"/>
          <w:b/>
          <w:color w:val="000000"/>
          <w:szCs w:val="23"/>
        </w:rPr>
        <w:t>2018 m. vaikų 7-17 m. amžiaus sergamumo atvejų skaičius, pokytis, palyginus su 2017 m.</w:t>
      </w:r>
    </w:p>
    <w:tbl>
      <w:tblPr>
        <w:tblStyle w:val="viesustinklelis3parykinimas"/>
        <w:tblpPr w:leftFromText="180" w:rightFromText="180" w:vertAnchor="text" w:tblpXSpec="center" w:tblpY="1"/>
        <w:tblW w:w="9958" w:type="dxa"/>
        <w:tblLayout w:type="fixed"/>
        <w:tblLook w:val="04A0" w:firstRow="1" w:lastRow="0" w:firstColumn="1" w:lastColumn="0" w:noHBand="0" w:noVBand="1"/>
      </w:tblPr>
      <w:tblGrid>
        <w:gridCol w:w="5920"/>
        <w:gridCol w:w="1559"/>
        <w:gridCol w:w="1345"/>
        <w:gridCol w:w="1134"/>
      </w:tblGrid>
      <w:tr w:rsidR="00107C8C" w:rsidRPr="006B6070" w:rsidTr="00107C8C">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920" w:type="dxa"/>
            <w:vAlign w:val="center"/>
          </w:tcPr>
          <w:p w:rsidR="00107C8C" w:rsidRPr="006B6070" w:rsidRDefault="00107C8C" w:rsidP="002B75A3">
            <w:pPr>
              <w:jc w:val="center"/>
              <w:rPr>
                <w:rFonts w:ascii="Times New Roman" w:hAnsi="Times New Roman" w:cs="Times New Roman"/>
                <w:color w:val="000000"/>
                <w:sz w:val="20"/>
                <w:szCs w:val="23"/>
              </w:rPr>
            </w:pPr>
            <w:r w:rsidRPr="006B6070">
              <w:rPr>
                <w:rFonts w:ascii="Times New Roman" w:hAnsi="Times New Roman" w:cs="Times New Roman"/>
                <w:color w:val="000000"/>
                <w:sz w:val="20"/>
                <w:szCs w:val="23"/>
              </w:rPr>
              <w:t>Diagnozės pavadinimas</w:t>
            </w:r>
          </w:p>
        </w:tc>
        <w:tc>
          <w:tcPr>
            <w:tcW w:w="1559" w:type="dxa"/>
            <w:vAlign w:val="center"/>
          </w:tcPr>
          <w:p w:rsidR="00107C8C" w:rsidRDefault="00107C8C" w:rsidP="002B75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3"/>
              </w:rPr>
            </w:pPr>
            <w:r>
              <w:rPr>
                <w:rFonts w:ascii="Times New Roman" w:hAnsi="Times New Roman" w:cs="Times New Roman"/>
                <w:color w:val="000000"/>
                <w:sz w:val="20"/>
                <w:szCs w:val="23"/>
              </w:rPr>
              <w:t>Sergančių asmenų skaičius</w:t>
            </w:r>
          </w:p>
          <w:p w:rsidR="00107C8C" w:rsidRPr="006B6070" w:rsidRDefault="00107C8C" w:rsidP="002B75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3"/>
              </w:rPr>
            </w:pPr>
            <w:r>
              <w:rPr>
                <w:rFonts w:ascii="Times New Roman" w:hAnsi="Times New Roman" w:cs="Times New Roman"/>
                <w:color w:val="000000"/>
                <w:sz w:val="20"/>
                <w:szCs w:val="23"/>
              </w:rPr>
              <w:t>(ligotumas)</w:t>
            </w:r>
          </w:p>
        </w:tc>
        <w:tc>
          <w:tcPr>
            <w:tcW w:w="1345" w:type="dxa"/>
            <w:vAlign w:val="center"/>
          </w:tcPr>
          <w:p w:rsidR="00107C8C" w:rsidRDefault="00107C8C" w:rsidP="002B75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3"/>
              </w:rPr>
            </w:pPr>
            <w:r>
              <w:rPr>
                <w:rFonts w:ascii="Times New Roman" w:hAnsi="Times New Roman" w:cs="Times New Roman"/>
                <w:color w:val="000000"/>
                <w:sz w:val="20"/>
                <w:szCs w:val="23"/>
              </w:rPr>
              <w:t>Sergančių asmenų skaičius 1000 gyventojų</w:t>
            </w:r>
          </w:p>
        </w:tc>
        <w:tc>
          <w:tcPr>
            <w:tcW w:w="1134" w:type="dxa"/>
            <w:vAlign w:val="center"/>
          </w:tcPr>
          <w:p w:rsidR="00107C8C" w:rsidRDefault="00107C8C" w:rsidP="002B75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3"/>
              </w:rPr>
            </w:pPr>
            <w:r>
              <w:rPr>
                <w:rFonts w:ascii="Times New Roman" w:hAnsi="Times New Roman" w:cs="Times New Roman"/>
                <w:color w:val="000000"/>
                <w:sz w:val="20"/>
                <w:szCs w:val="23"/>
              </w:rPr>
              <w:t>Pokytis, palyginus su 2017 m.</w:t>
            </w:r>
          </w:p>
        </w:tc>
      </w:tr>
      <w:tr w:rsidR="00107C8C" w:rsidTr="00107C8C">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920" w:type="dxa"/>
          </w:tcPr>
          <w:p w:rsidR="00107C8C" w:rsidRPr="00DB0D1D" w:rsidRDefault="00107C8C" w:rsidP="002B75A3">
            <w:pPr>
              <w:rPr>
                <w:rFonts w:ascii="Times New Roman" w:hAnsi="Times New Roman" w:cs="Times New Roman"/>
                <w:b w:val="0"/>
                <w:color w:val="000000"/>
                <w:sz w:val="16"/>
                <w:szCs w:val="16"/>
              </w:rPr>
            </w:pPr>
            <w:r w:rsidRPr="00DB0D1D">
              <w:rPr>
                <w:rFonts w:ascii="Times New Roman" w:hAnsi="Times New Roman" w:cs="Times New Roman"/>
                <w:b w:val="0"/>
                <w:color w:val="000000"/>
                <w:sz w:val="16"/>
                <w:szCs w:val="16"/>
              </w:rPr>
              <w:t>J00-J99 KVĖPAVIMO SISTEMOS LIGOS</w:t>
            </w:r>
          </w:p>
        </w:tc>
        <w:tc>
          <w:tcPr>
            <w:tcW w:w="1559" w:type="dxa"/>
            <w:vAlign w:val="center"/>
          </w:tcPr>
          <w:p w:rsidR="00107C8C" w:rsidRPr="00817A2C"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118</w:t>
            </w:r>
          </w:p>
        </w:tc>
        <w:tc>
          <w:tcPr>
            <w:tcW w:w="1345" w:type="dxa"/>
            <w:vAlign w:val="center"/>
          </w:tcPr>
          <w:p w:rsidR="00107C8C"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33,72</w:t>
            </w:r>
          </w:p>
        </w:tc>
        <w:tc>
          <w:tcPr>
            <w:tcW w:w="1134" w:type="dxa"/>
            <w:vAlign w:val="center"/>
          </w:tcPr>
          <w:p w:rsidR="00107C8C"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-2, 7</w:t>
            </w:r>
          </w:p>
        </w:tc>
      </w:tr>
      <w:tr w:rsidR="00107C8C" w:rsidTr="00107C8C">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920" w:type="dxa"/>
          </w:tcPr>
          <w:p w:rsidR="00107C8C" w:rsidRPr="00DB0D1D" w:rsidRDefault="00107C8C" w:rsidP="002B75A3">
            <w:pPr>
              <w:rPr>
                <w:rFonts w:ascii="Times New Roman" w:hAnsi="Times New Roman" w:cs="Times New Roman"/>
                <w:b w:val="0"/>
                <w:color w:val="000000"/>
                <w:sz w:val="16"/>
                <w:szCs w:val="16"/>
              </w:rPr>
            </w:pPr>
            <w:r w:rsidRPr="00DB0D1D">
              <w:rPr>
                <w:rFonts w:ascii="Times New Roman" w:hAnsi="Times New Roman" w:cs="Times New Roman"/>
                <w:b w:val="0"/>
                <w:color w:val="000000"/>
                <w:sz w:val="16"/>
                <w:szCs w:val="16"/>
              </w:rPr>
              <w:t>K00-K93 VIRŠKINIMO SISTEMOS LIGOS</w:t>
            </w:r>
          </w:p>
        </w:tc>
        <w:tc>
          <w:tcPr>
            <w:tcW w:w="1559" w:type="dxa"/>
            <w:vAlign w:val="center"/>
          </w:tcPr>
          <w:p w:rsidR="00107C8C" w:rsidRPr="00817A2C"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1345" w:type="dxa"/>
            <w:vAlign w:val="center"/>
          </w:tcPr>
          <w:p w:rsidR="00107C8C"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17,15</w:t>
            </w:r>
          </w:p>
        </w:tc>
        <w:tc>
          <w:tcPr>
            <w:tcW w:w="1134" w:type="dxa"/>
            <w:vAlign w:val="center"/>
          </w:tcPr>
          <w:p w:rsidR="00107C8C"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5,49</w:t>
            </w:r>
          </w:p>
        </w:tc>
      </w:tr>
      <w:tr w:rsidR="00107C8C" w:rsidTr="00107C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920" w:type="dxa"/>
          </w:tcPr>
          <w:p w:rsidR="00107C8C" w:rsidRPr="00DA4353" w:rsidRDefault="00107C8C" w:rsidP="002B75A3">
            <w:pPr>
              <w:rPr>
                <w:rFonts w:ascii="Times New Roman" w:hAnsi="Times New Roman" w:cs="Times New Roman"/>
                <w:b w:val="0"/>
                <w:color w:val="000000"/>
                <w:sz w:val="16"/>
                <w:szCs w:val="16"/>
              </w:rPr>
            </w:pPr>
            <w:r w:rsidRPr="00DA4353">
              <w:rPr>
                <w:rFonts w:ascii="Times New Roman" w:hAnsi="Times New Roman" w:cs="Times New Roman"/>
                <w:b w:val="0"/>
                <w:color w:val="000000"/>
                <w:sz w:val="16"/>
                <w:szCs w:val="20"/>
              </w:rPr>
              <w:t>A00-B99 TAM TIKROS INFEKCINĖS IR PARAZITŲ SUKELIAMOS LIGOS</w:t>
            </w:r>
          </w:p>
        </w:tc>
        <w:tc>
          <w:tcPr>
            <w:tcW w:w="1559" w:type="dxa"/>
            <w:vAlign w:val="center"/>
          </w:tcPr>
          <w:p w:rsidR="00107C8C" w:rsidRPr="00C116D6"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lang w:eastAsia="lt-LT"/>
              </w:rPr>
            </w:pPr>
            <w:r w:rsidRPr="00C116D6">
              <w:rPr>
                <w:rFonts w:ascii="Times New Roman" w:hAnsi="Times New Roman" w:cs="Times New Roman"/>
                <w:noProof/>
                <w:color w:val="000000"/>
                <w:sz w:val="20"/>
                <w:szCs w:val="20"/>
                <w:lang w:eastAsia="lt-LT"/>
              </w:rPr>
              <w:t>42</w:t>
            </w:r>
          </w:p>
        </w:tc>
        <w:tc>
          <w:tcPr>
            <w:tcW w:w="1345" w:type="dxa"/>
            <w:vAlign w:val="center"/>
          </w:tcPr>
          <w:p w:rsidR="00107C8C" w:rsidRPr="00B250E1"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lang w:eastAsia="lt-LT"/>
              </w:rPr>
            </w:pPr>
            <w:r w:rsidRPr="00B250E1">
              <w:rPr>
                <w:rFonts w:ascii="Times New Roman" w:hAnsi="Times New Roman" w:cs="Times New Roman"/>
                <w:noProof/>
                <w:color w:val="000000"/>
                <w:sz w:val="20"/>
                <w:szCs w:val="20"/>
                <w:lang w:eastAsia="lt-LT"/>
              </w:rPr>
              <w:t>12,00</w:t>
            </w:r>
          </w:p>
        </w:tc>
        <w:tc>
          <w:tcPr>
            <w:tcW w:w="1134" w:type="dxa"/>
            <w:vAlign w:val="center"/>
          </w:tcPr>
          <w:p w:rsidR="00107C8C" w:rsidRPr="00B250E1"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lang w:eastAsia="lt-LT"/>
              </w:rPr>
            </w:pPr>
            <w:r w:rsidRPr="00B250E1">
              <w:rPr>
                <w:rFonts w:ascii="Times New Roman" w:hAnsi="Times New Roman" w:cs="Times New Roman"/>
                <w:noProof/>
                <w:color w:val="000000"/>
                <w:sz w:val="20"/>
                <w:szCs w:val="20"/>
                <w:lang w:eastAsia="lt-LT"/>
              </w:rPr>
              <w:t>9,16</w:t>
            </w:r>
          </w:p>
        </w:tc>
      </w:tr>
      <w:tr w:rsidR="00107C8C" w:rsidTr="00107C8C">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920" w:type="dxa"/>
          </w:tcPr>
          <w:p w:rsidR="00107C8C" w:rsidRPr="00DB0D1D" w:rsidRDefault="00107C8C" w:rsidP="002B75A3">
            <w:pPr>
              <w:rPr>
                <w:rFonts w:ascii="Times New Roman" w:hAnsi="Times New Roman" w:cs="Times New Roman"/>
                <w:b w:val="0"/>
                <w:color w:val="000000"/>
                <w:sz w:val="16"/>
                <w:szCs w:val="16"/>
              </w:rPr>
            </w:pPr>
            <w:r w:rsidRPr="00DB0D1D">
              <w:rPr>
                <w:rFonts w:ascii="Times New Roman" w:hAnsi="Times New Roman" w:cs="Times New Roman"/>
                <w:b w:val="0"/>
                <w:color w:val="000000"/>
                <w:sz w:val="16"/>
                <w:szCs w:val="16"/>
              </w:rPr>
              <w:t>H00-H59 AKIES IR JOS PRIEDINIŲ ORGANŲ LIGOS</w:t>
            </w:r>
          </w:p>
        </w:tc>
        <w:tc>
          <w:tcPr>
            <w:tcW w:w="1559" w:type="dxa"/>
            <w:vAlign w:val="center"/>
          </w:tcPr>
          <w:p w:rsidR="00107C8C"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24</w:t>
            </w:r>
          </w:p>
        </w:tc>
        <w:tc>
          <w:tcPr>
            <w:tcW w:w="1345" w:type="dxa"/>
            <w:vAlign w:val="center"/>
          </w:tcPr>
          <w:p w:rsidR="00107C8C"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6,86</w:t>
            </w:r>
          </w:p>
        </w:tc>
        <w:tc>
          <w:tcPr>
            <w:tcW w:w="1134" w:type="dxa"/>
            <w:vAlign w:val="center"/>
          </w:tcPr>
          <w:p w:rsidR="00107C8C"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0,6</w:t>
            </w:r>
          </w:p>
        </w:tc>
      </w:tr>
      <w:tr w:rsidR="00107C8C" w:rsidTr="00107C8C">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5920" w:type="dxa"/>
          </w:tcPr>
          <w:p w:rsidR="00107C8C" w:rsidRPr="00DB0D1D" w:rsidRDefault="00107C8C" w:rsidP="002B75A3">
            <w:pPr>
              <w:rPr>
                <w:rFonts w:ascii="Times New Roman" w:hAnsi="Times New Roman" w:cs="Times New Roman"/>
                <w:b w:val="0"/>
                <w:color w:val="000000"/>
                <w:sz w:val="16"/>
                <w:szCs w:val="16"/>
              </w:rPr>
            </w:pPr>
            <w:r w:rsidRPr="00DB0D1D">
              <w:rPr>
                <w:rFonts w:ascii="Times New Roman" w:hAnsi="Times New Roman" w:cs="Times New Roman"/>
                <w:b w:val="0"/>
                <w:color w:val="000000"/>
                <w:sz w:val="16"/>
                <w:szCs w:val="16"/>
              </w:rPr>
              <w:t>F00-F99 PSICHIKOS IR ELGESIO SUTRIKIMAI</w:t>
            </w:r>
          </w:p>
        </w:tc>
        <w:tc>
          <w:tcPr>
            <w:tcW w:w="1559" w:type="dxa"/>
            <w:vAlign w:val="center"/>
          </w:tcPr>
          <w:p w:rsidR="00107C8C" w:rsidRPr="00817A2C"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345" w:type="dxa"/>
            <w:vAlign w:val="center"/>
          </w:tcPr>
          <w:p w:rsidR="00107C8C"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4,57</w:t>
            </w:r>
          </w:p>
        </w:tc>
        <w:tc>
          <w:tcPr>
            <w:tcW w:w="1134" w:type="dxa"/>
            <w:vAlign w:val="center"/>
          </w:tcPr>
          <w:p w:rsidR="00107C8C"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3,72</w:t>
            </w:r>
          </w:p>
        </w:tc>
      </w:tr>
      <w:tr w:rsidR="00107C8C" w:rsidTr="00107C8C">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920" w:type="dxa"/>
          </w:tcPr>
          <w:p w:rsidR="00107C8C" w:rsidRPr="00DB0D1D" w:rsidRDefault="00107C8C" w:rsidP="002B75A3">
            <w:pPr>
              <w:rPr>
                <w:rFonts w:ascii="Times New Roman" w:hAnsi="Times New Roman" w:cs="Times New Roman"/>
                <w:b w:val="0"/>
                <w:color w:val="000000"/>
                <w:sz w:val="16"/>
                <w:szCs w:val="16"/>
              </w:rPr>
            </w:pPr>
            <w:r w:rsidRPr="00DB0D1D">
              <w:rPr>
                <w:rFonts w:ascii="Times New Roman" w:hAnsi="Times New Roman" w:cs="Times New Roman"/>
                <w:b w:val="0"/>
                <w:color w:val="000000"/>
                <w:sz w:val="16"/>
                <w:szCs w:val="16"/>
              </w:rPr>
              <w:t>M00-M99 JUNGIAMOJO AUDINIO IR RAUMENŲ BEI SKELETO LIGOS</w:t>
            </w:r>
          </w:p>
        </w:tc>
        <w:tc>
          <w:tcPr>
            <w:tcW w:w="1559" w:type="dxa"/>
            <w:vAlign w:val="center"/>
          </w:tcPr>
          <w:p w:rsidR="00107C8C" w:rsidRPr="00817A2C"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345" w:type="dxa"/>
            <w:vAlign w:val="center"/>
          </w:tcPr>
          <w:p w:rsidR="00107C8C"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4,29</w:t>
            </w:r>
          </w:p>
        </w:tc>
        <w:tc>
          <w:tcPr>
            <w:tcW w:w="1134" w:type="dxa"/>
            <w:vAlign w:val="center"/>
          </w:tcPr>
          <w:p w:rsidR="00107C8C"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2,58</w:t>
            </w:r>
          </w:p>
        </w:tc>
      </w:tr>
      <w:tr w:rsidR="00107C8C" w:rsidTr="00107C8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920" w:type="dxa"/>
          </w:tcPr>
          <w:p w:rsidR="00107C8C" w:rsidRPr="00DB0D1D" w:rsidRDefault="00107C8C" w:rsidP="002B75A3">
            <w:pPr>
              <w:rPr>
                <w:rFonts w:ascii="Times New Roman" w:hAnsi="Times New Roman" w:cs="Times New Roman"/>
                <w:b w:val="0"/>
                <w:color w:val="000000"/>
                <w:sz w:val="16"/>
                <w:szCs w:val="16"/>
              </w:rPr>
            </w:pPr>
            <w:r w:rsidRPr="00DB0D1D">
              <w:rPr>
                <w:rFonts w:ascii="Times New Roman" w:hAnsi="Times New Roman" w:cs="Times New Roman"/>
                <w:b w:val="0"/>
                <w:color w:val="000000"/>
                <w:sz w:val="16"/>
                <w:szCs w:val="16"/>
              </w:rPr>
              <w:t>S00-T98 SUŽALOJIMAI, APSINUODIJIMAI IR TAM TIKRI IŠORINIŲ POVEIKIŲ PADARINIAI</w:t>
            </w:r>
          </w:p>
        </w:tc>
        <w:tc>
          <w:tcPr>
            <w:tcW w:w="1559" w:type="dxa"/>
            <w:vAlign w:val="center"/>
          </w:tcPr>
          <w:p w:rsidR="00107C8C" w:rsidRPr="00817A2C"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345" w:type="dxa"/>
            <w:vAlign w:val="center"/>
          </w:tcPr>
          <w:p w:rsidR="00107C8C"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4,00</w:t>
            </w:r>
          </w:p>
        </w:tc>
        <w:tc>
          <w:tcPr>
            <w:tcW w:w="1134" w:type="dxa"/>
            <w:vAlign w:val="center"/>
          </w:tcPr>
          <w:p w:rsidR="00107C8C"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-0,96</w:t>
            </w:r>
          </w:p>
        </w:tc>
      </w:tr>
      <w:tr w:rsidR="00107C8C" w:rsidTr="00107C8C">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920" w:type="dxa"/>
          </w:tcPr>
          <w:p w:rsidR="00107C8C" w:rsidRPr="00DB0D1D" w:rsidRDefault="00107C8C" w:rsidP="002B75A3">
            <w:pPr>
              <w:rPr>
                <w:rFonts w:ascii="Times New Roman" w:hAnsi="Times New Roman" w:cs="Times New Roman"/>
                <w:b w:val="0"/>
                <w:color w:val="000000"/>
                <w:sz w:val="16"/>
                <w:szCs w:val="16"/>
              </w:rPr>
            </w:pPr>
            <w:r w:rsidRPr="00DB0D1D">
              <w:rPr>
                <w:rFonts w:ascii="Times New Roman" w:hAnsi="Times New Roman" w:cs="Times New Roman"/>
                <w:b w:val="0"/>
                <w:color w:val="000000"/>
                <w:sz w:val="16"/>
                <w:szCs w:val="16"/>
              </w:rPr>
              <w:t>E00-E90 ENDOKRININĖS, MITYBOS IR MEDŽIAGŲ APYKAITOS LIGOS</w:t>
            </w:r>
          </w:p>
        </w:tc>
        <w:tc>
          <w:tcPr>
            <w:tcW w:w="1559" w:type="dxa"/>
            <w:vAlign w:val="center"/>
          </w:tcPr>
          <w:p w:rsidR="00107C8C" w:rsidRPr="00817A2C"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345" w:type="dxa"/>
            <w:vAlign w:val="center"/>
          </w:tcPr>
          <w:p w:rsidR="00107C8C"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4,00</w:t>
            </w:r>
          </w:p>
        </w:tc>
        <w:tc>
          <w:tcPr>
            <w:tcW w:w="1134" w:type="dxa"/>
            <w:vAlign w:val="center"/>
          </w:tcPr>
          <w:p w:rsidR="00107C8C"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1,44</w:t>
            </w:r>
          </w:p>
        </w:tc>
      </w:tr>
      <w:tr w:rsidR="00107C8C" w:rsidTr="00107C8C">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920" w:type="dxa"/>
          </w:tcPr>
          <w:p w:rsidR="00107C8C" w:rsidRPr="00DB0D1D" w:rsidRDefault="00107C8C" w:rsidP="002B75A3">
            <w:pPr>
              <w:rPr>
                <w:rFonts w:ascii="Times New Roman" w:hAnsi="Times New Roman" w:cs="Times New Roman"/>
                <w:b w:val="0"/>
                <w:color w:val="000000"/>
                <w:sz w:val="16"/>
                <w:szCs w:val="16"/>
              </w:rPr>
            </w:pPr>
            <w:r w:rsidRPr="00DB0D1D">
              <w:rPr>
                <w:rFonts w:ascii="Times New Roman" w:hAnsi="Times New Roman" w:cs="Times New Roman"/>
                <w:b w:val="0"/>
                <w:color w:val="000000"/>
                <w:sz w:val="16"/>
                <w:szCs w:val="16"/>
              </w:rPr>
              <w:t>N00-N99 LYTINĖS IR ŠLAPIMO SISTEMOS LIGOS</w:t>
            </w:r>
          </w:p>
        </w:tc>
        <w:tc>
          <w:tcPr>
            <w:tcW w:w="1559" w:type="dxa"/>
            <w:vAlign w:val="center"/>
          </w:tcPr>
          <w:p w:rsidR="00107C8C" w:rsidRPr="00817A2C"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45" w:type="dxa"/>
            <w:vAlign w:val="center"/>
          </w:tcPr>
          <w:p w:rsidR="00107C8C"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3,43</w:t>
            </w:r>
          </w:p>
        </w:tc>
        <w:tc>
          <w:tcPr>
            <w:tcW w:w="1134" w:type="dxa"/>
            <w:vAlign w:val="center"/>
          </w:tcPr>
          <w:p w:rsidR="00107C8C"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-1,12</w:t>
            </w:r>
          </w:p>
        </w:tc>
      </w:tr>
      <w:tr w:rsidR="00107C8C" w:rsidTr="00107C8C">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920" w:type="dxa"/>
          </w:tcPr>
          <w:p w:rsidR="00107C8C" w:rsidRPr="00DB0D1D" w:rsidRDefault="00107C8C" w:rsidP="002B75A3">
            <w:pPr>
              <w:rPr>
                <w:rFonts w:ascii="Times New Roman" w:hAnsi="Times New Roman" w:cs="Times New Roman"/>
                <w:b w:val="0"/>
                <w:color w:val="000000"/>
                <w:sz w:val="16"/>
                <w:szCs w:val="16"/>
              </w:rPr>
            </w:pPr>
            <w:r w:rsidRPr="00DB0D1D">
              <w:rPr>
                <w:rFonts w:ascii="Times New Roman" w:hAnsi="Times New Roman" w:cs="Times New Roman"/>
                <w:b w:val="0"/>
                <w:color w:val="000000"/>
                <w:sz w:val="16"/>
                <w:szCs w:val="16"/>
              </w:rPr>
              <w:t>G00-G99 NERVŲ SISTEMOS LIGOS</w:t>
            </w:r>
          </w:p>
        </w:tc>
        <w:tc>
          <w:tcPr>
            <w:tcW w:w="1559" w:type="dxa"/>
            <w:vAlign w:val="center"/>
          </w:tcPr>
          <w:p w:rsidR="00107C8C" w:rsidRPr="00817A2C"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45" w:type="dxa"/>
            <w:vAlign w:val="center"/>
          </w:tcPr>
          <w:p w:rsidR="00107C8C"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3,14</w:t>
            </w:r>
          </w:p>
        </w:tc>
        <w:tc>
          <w:tcPr>
            <w:tcW w:w="1134" w:type="dxa"/>
            <w:vAlign w:val="center"/>
          </w:tcPr>
          <w:p w:rsidR="00107C8C"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-1,13</w:t>
            </w:r>
          </w:p>
        </w:tc>
      </w:tr>
      <w:tr w:rsidR="00107C8C" w:rsidTr="00107C8C">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920" w:type="dxa"/>
          </w:tcPr>
          <w:p w:rsidR="00107C8C" w:rsidRPr="00DB0D1D" w:rsidRDefault="00107C8C" w:rsidP="002B75A3">
            <w:pPr>
              <w:rPr>
                <w:rFonts w:ascii="Times New Roman" w:hAnsi="Times New Roman" w:cs="Times New Roman"/>
                <w:b w:val="0"/>
                <w:color w:val="000000"/>
                <w:sz w:val="16"/>
                <w:szCs w:val="16"/>
              </w:rPr>
            </w:pPr>
            <w:r w:rsidRPr="00DB0D1D">
              <w:rPr>
                <w:rFonts w:ascii="Times New Roman" w:hAnsi="Times New Roman" w:cs="Times New Roman"/>
                <w:b w:val="0"/>
                <w:color w:val="000000"/>
                <w:sz w:val="16"/>
                <w:szCs w:val="16"/>
              </w:rPr>
              <w:t>L00-L99 ODOS IR POODŽIO LIGOS</w:t>
            </w:r>
          </w:p>
        </w:tc>
        <w:tc>
          <w:tcPr>
            <w:tcW w:w="1559" w:type="dxa"/>
            <w:vAlign w:val="center"/>
          </w:tcPr>
          <w:p w:rsidR="00107C8C" w:rsidRPr="00817A2C"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345" w:type="dxa"/>
            <w:vAlign w:val="center"/>
          </w:tcPr>
          <w:p w:rsidR="00107C8C"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2,29</w:t>
            </w:r>
          </w:p>
        </w:tc>
        <w:tc>
          <w:tcPr>
            <w:tcW w:w="1134" w:type="dxa"/>
            <w:vAlign w:val="center"/>
          </w:tcPr>
          <w:p w:rsidR="00107C8C"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-0,55</w:t>
            </w:r>
          </w:p>
        </w:tc>
      </w:tr>
      <w:tr w:rsidR="00107C8C" w:rsidTr="00107C8C">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920" w:type="dxa"/>
          </w:tcPr>
          <w:p w:rsidR="00107C8C" w:rsidRPr="00DB0D1D" w:rsidRDefault="00107C8C" w:rsidP="002B75A3">
            <w:pPr>
              <w:rPr>
                <w:rFonts w:ascii="Times New Roman" w:hAnsi="Times New Roman" w:cs="Times New Roman"/>
                <w:b w:val="0"/>
                <w:color w:val="000000"/>
                <w:sz w:val="16"/>
                <w:szCs w:val="16"/>
              </w:rPr>
            </w:pPr>
            <w:r w:rsidRPr="00DB0D1D">
              <w:rPr>
                <w:rFonts w:ascii="Times New Roman" w:hAnsi="Times New Roman" w:cs="Times New Roman"/>
                <w:b w:val="0"/>
                <w:color w:val="000000"/>
                <w:sz w:val="16"/>
                <w:szCs w:val="16"/>
              </w:rPr>
              <w:t>I00-I99 KRAUJOTAKOS SISTEMOS LIGOS</w:t>
            </w:r>
          </w:p>
        </w:tc>
        <w:tc>
          <w:tcPr>
            <w:tcW w:w="1559" w:type="dxa"/>
            <w:vAlign w:val="center"/>
          </w:tcPr>
          <w:p w:rsidR="00107C8C" w:rsidRPr="00817A2C"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345" w:type="dxa"/>
            <w:vAlign w:val="center"/>
          </w:tcPr>
          <w:p w:rsidR="00107C8C"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2,00</w:t>
            </w:r>
          </w:p>
        </w:tc>
        <w:tc>
          <w:tcPr>
            <w:tcW w:w="1134" w:type="dxa"/>
            <w:vAlign w:val="center"/>
          </w:tcPr>
          <w:p w:rsidR="00107C8C"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-0,28</w:t>
            </w:r>
          </w:p>
        </w:tc>
      </w:tr>
      <w:tr w:rsidR="00107C8C" w:rsidTr="00107C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920" w:type="dxa"/>
          </w:tcPr>
          <w:p w:rsidR="00107C8C" w:rsidRPr="00DA4353" w:rsidRDefault="00107C8C" w:rsidP="002B75A3">
            <w:pPr>
              <w:rPr>
                <w:rFonts w:ascii="Times New Roman" w:hAnsi="Times New Roman" w:cs="Times New Roman"/>
                <w:b w:val="0"/>
                <w:color w:val="000000"/>
                <w:sz w:val="16"/>
                <w:szCs w:val="16"/>
              </w:rPr>
            </w:pPr>
            <w:r>
              <w:rPr>
                <w:rFonts w:ascii="Times New Roman" w:hAnsi="Times New Roman" w:cs="Times New Roman"/>
                <w:b w:val="0"/>
                <w:color w:val="000000"/>
                <w:sz w:val="16"/>
                <w:szCs w:val="16"/>
              </w:rPr>
              <w:t xml:space="preserve">R00-R99 </w:t>
            </w:r>
            <w:r w:rsidRPr="00DA4353">
              <w:rPr>
                <w:rFonts w:ascii="Times New Roman" w:hAnsi="Times New Roman" w:cs="Times New Roman"/>
                <w:b w:val="0"/>
                <w:color w:val="000000"/>
                <w:sz w:val="16"/>
                <w:szCs w:val="16"/>
              </w:rPr>
              <w:t xml:space="preserve">SIMPTOMAI, POŽYMIAI IR NENORMALŪS KLINIKINIAI BEI LABORATORINIAI RADINIAI, NEKLASIFIKUOJAMI KITUR </w:t>
            </w:r>
          </w:p>
        </w:tc>
        <w:tc>
          <w:tcPr>
            <w:tcW w:w="1559" w:type="dxa"/>
            <w:vAlign w:val="center"/>
          </w:tcPr>
          <w:p w:rsidR="00107C8C"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7</w:t>
            </w:r>
          </w:p>
        </w:tc>
        <w:tc>
          <w:tcPr>
            <w:tcW w:w="1345" w:type="dxa"/>
            <w:vAlign w:val="center"/>
          </w:tcPr>
          <w:p w:rsidR="00107C8C"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2,00</w:t>
            </w:r>
          </w:p>
        </w:tc>
        <w:tc>
          <w:tcPr>
            <w:tcW w:w="1134" w:type="dxa"/>
            <w:vAlign w:val="center"/>
          </w:tcPr>
          <w:p w:rsidR="00107C8C"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-0,56</w:t>
            </w:r>
          </w:p>
        </w:tc>
      </w:tr>
      <w:tr w:rsidR="00107C8C" w:rsidTr="00107C8C">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920" w:type="dxa"/>
          </w:tcPr>
          <w:p w:rsidR="00107C8C" w:rsidRPr="00DA4353" w:rsidRDefault="00107C8C" w:rsidP="002B75A3">
            <w:pPr>
              <w:rPr>
                <w:rFonts w:ascii="Times New Roman" w:hAnsi="Times New Roman" w:cs="Times New Roman"/>
                <w:b w:val="0"/>
              </w:rPr>
            </w:pPr>
            <w:r w:rsidRPr="00DA4353">
              <w:rPr>
                <w:rFonts w:ascii="Times New Roman" w:hAnsi="Times New Roman" w:cs="Times New Roman"/>
                <w:b w:val="0"/>
                <w:color w:val="000000"/>
                <w:sz w:val="16"/>
                <w:szCs w:val="20"/>
              </w:rPr>
              <w:t>Q00-Q99 ĮGIMTOS FORMAVIMOSI YDOS, DEFORMACIJOS IR CHROMOSOMŲ ANOMALIJOS</w:t>
            </w:r>
          </w:p>
        </w:tc>
        <w:tc>
          <w:tcPr>
            <w:tcW w:w="1559" w:type="dxa"/>
            <w:vAlign w:val="center"/>
          </w:tcPr>
          <w:p w:rsidR="00107C8C" w:rsidRPr="00C116D6"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116D6">
              <w:rPr>
                <w:rFonts w:ascii="Times New Roman" w:hAnsi="Times New Roman" w:cs="Times New Roman"/>
                <w:sz w:val="20"/>
                <w:szCs w:val="20"/>
              </w:rPr>
              <w:t>6</w:t>
            </w:r>
          </w:p>
        </w:tc>
        <w:tc>
          <w:tcPr>
            <w:tcW w:w="1345" w:type="dxa"/>
            <w:vAlign w:val="center"/>
          </w:tcPr>
          <w:p w:rsidR="00107C8C" w:rsidRPr="00B250E1"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250E1">
              <w:rPr>
                <w:rFonts w:ascii="Times New Roman" w:hAnsi="Times New Roman" w:cs="Times New Roman"/>
                <w:sz w:val="20"/>
                <w:szCs w:val="20"/>
              </w:rPr>
              <w:t>1,71</w:t>
            </w:r>
          </w:p>
        </w:tc>
        <w:tc>
          <w:tcPr>
            <w:tcW w:w="1134" w:type="dxa"/>
            <w:vAlign w:val="center"/>
          </w:tcPr>
          <w:p w:rsidR="00107C8C" w:rsidRPr="00B250E1"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250E1">
              <w:rPr>
                <w:rFonts w:ascii="Times New Roman" w:hAnsi="Times New Roman" w:cs="Times New Roman"/>
                <w:sz w:val="20"/>
                <w:szCs w:val="20"/>
              </w:rPr>
              <w:t>0,29</w:t>
            </w:r>
          </w:p>
        </w:tc>
      </w:tr>
      <w:tr w:rsidR="00107C8C" w:rsidTr="00107C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920" w:type="dxa"/>
          </w:tcPr>
          <w:p w:rsidR="00107C8C" w:rsidRPr="00DB0D1D" w:rsidRDefault="00107C8C" w:rsidP="002B75A3">
            <w:pPr>
              <w:rPr>
                <w:rFonts w:ascii="Times New Roman" w:hAnsi="Times New Roman" w:cs="Times New Roman"/>
                <w:color w:val="000000"/>
                <w:sz w:val="16"/>
                <w:szCs w:val="16"/>
              </w:rPr>
            </w:pPr>
            <w:r w:rsidRPr="00DB0D1D">
              <w:rPr>
                <w:rFonts w:ascii="Times New Roman" w:hAnsi="Times New Roman" w:cs="Times New Roman"/>
                <w:b w:val="0"/>
                <w:color w:val="000000"/>
                <w:sz w:val="16"/>
                <w:szCs w:val="16"/>
              </w:rPr>
              <w:t>D50-D89 KRAUJO IR KRAUJODAROS ORGANŲ LIGOS BEI TAM TIKRI SUTRIKIMAI, SUSIJĘ SU IMUNINIAIS MECHANIZMAIS</w:t>
            </w:r>
          </w:p>
        </w:tc>
        <w:tc>
          <w:tcPr>
            <w:tcW w:w="1559" w:type="dxa"/>
            <w:vAlign w:val="center"/>
          </w:tcPr>
          <w:p w:rsidR="00107C8C"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3</w:t>
            </w:r>
          </w:p>
        </w:tc>
        <w:tc>
          <w:tcPr>
            <w:tcW w:w="1345" w:type="dxa"/>
            <w:vAlign w:val="center"/>
          </w:tcPr>
          <w:p w:rsidR="00107C8C"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0,86</w:t>
            </w:r>
          </w:p>
        </w:tc>
        <w:tc>
          <w:tcPr>
            <w:tcW w:w="1134" w:type="dxa"/>
            <w:vAlign w:val="center"/>
          </w:tcPr>
          <w:p w:rsidR="00107C8C"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0,58</w:t>
            </w:r>
          </w:p>
        </w:tc>
      </w:tr>
      <w:tr w:rsidR="00107C8C" w:rsidTr="00107C8C">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920" w:type="dxa"/>
          </w:tcPr>
          <w:p w:rsidR="00107C8C" w:rsidRPr="00DB0D1D" w:rsidRDefault="00107C8C" w:rsidP="002B75A3">
            <w:pPr>
              <w:rPr>
                <w:rFonts w:ascii="Times New Roman" w:hAnsi="Times New Roman" w:cs="Times New Roman"/>
                <w:b w:val="0"/>
                <w:color w:val="000000"/>
                <w:sz w:val="16"/>
                <w:szCs w:val="16"/>
              </w:rPr>
            </w:pPr>
            <w:r w:rsidRPr="00DB0D1D">
              <w:rPr>
                <w:rFonts w:ascii="Times New Roman" w:hAnsi="Times New Roman" w:cs="Times New Roman"/>
                <w:b w:val="0"/>
                <w:color w:val="000000"/>
                <w:sz w:val="16"/>
                <w:szCs w:val="16"/>
              </w:rPr>
              <w:t>H60-H95 AUSIES IR SPENINĖS ATAUGOS LIGOS</w:t>
            </w:r>
          </w:p>
        </w:tc>
        <w:tc>
          <w:tcPr>
            <w:tcW w:w="1559" w:type="dxa"/>
            <w:vAlign w:val="center"/>
          </w:tcPr>
          <w:p w:rsidR="00107C8C" w:rsidRPr="00817A2C"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45" w:type="dxa"/>
            <w:vAlign w:val="center"/>
          </w:tcPr>
          <w:p w:rsidR="00107C8C"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0,57</w:t>
            </w:r>
          </w:p>
        </w:tc>
        <w:tc>
          <w:tcPr>
            <w:tcW w:w="1134" w:type="dxa"/>
            <w:vAlign w:val="center"/>
          </w:tcPr>
          <w:p w:rsidR="00107C8C" w:rsidRDefault="00107C8C" w:rsidP="002B75A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noProof/>
                <w:color w:val="000000"/>
                <w:sz w:val="20"/>
                <w:szCs w:val="20"/>
                <w:lang w:eastAsia="lt-LT"/>
              </w:rPr>
            </w:pPr>
            <w:r>
              <w:rPr>
                <w:rFonts w:ascii="Times New Roman" w:hAnsi="Times New Roman" w:cs="Times New Roman"/>
                <w:noProof/>
                <w:color w:val="000000"/>
                <w:sz w:val="20"/>
                <w:szCs w:val="20"/>
                <w:lang w:eastAsia="lt-LT"/>
              </w:rPr>
              <w:t>-1,14</w:t>
            </w:r>
          </w:p>
        </w:tc>
      </w:tr>
      <w:tr w:rsidR="00107C8C" w:rsidTr="00107C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920" w:type="dxa"/>
          </w:tcPr>
          <w:p w:rsidR="00107C8C" w:rsidRPr="00DA4353" w:rsidRDefault="00107C8C" w:rsidP="002B75A3">
            <w:pPr>
              <w:rPr>
                <w:rFonts w:ascii="Times New Roman" w:hAnsi="Times New Roman" w:cs="Times New Roman"/>
                <w:b w:val="0"/>
                <w:color w:val="000000"/>
                <w:sz w:val="16"/>
                <w:szCs w:val="20"/>
              </w:rPr>
            </w:pPr>
            <w:r>
              <w:rPr>
                <w:rFonts w:ascii="Times New Roman" w:hAnsi="Times New Roman" w:cs="Times New Roman"/>
                <w:b w:val="0"/>
                <w:color w:val="000000"/>
                <w:sz w:val="16"/>
                <w:szCs w:val="20"/>
              </w:rPr>
              <w:t>C00-D48 NAVIKAI</w:t>
            </w:r>
          </w:p>
        </w:tc>
        <w:tc>
          <w:tcPr>
            <w:tcW w:w="1559" w:type="dxa"/>
            <w:vAlign w:val="center"/>
          </w:tcPr>
          <w:p w:rsidR="00107C8C" w:rsidRPr="00C116D6"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116D6">
              <w:rPr>
                <w:rFonts w:ascii="Times New Roman" w:hAnsi="Times New Roman" w:cs="Times New Roman"/>
                <w:sz w:val="20"/>
                <w:szCs w:val="20"/>
              </w:rPr>
              <w:t>2</w:t>
            </w:r>
          </w:p>
        </w:tc>
        <w:tc>
          <w:tcPr>
            <w:tcW w:w="1345" w:type="dxa"/>
            <w:vAlign w:val="center"/>
          </w:tcPr>
          <w:p w:rsidR="00107C8C" w:rsidRPr="00B250E1"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50E1">
              <w:rPr>
                <w:rFonts w:ascii="Times New Roman" w:hAnsi="Times New Roman" w:cs="Times New Roman"/>
                <w:sz w:val="20"/>
                <w:szCs w:val="20"/>
              </w:rPr>
              <w:t>0,57</w:t>
            </w:r>
          </w:p>
        </w:tc>
        <w:tc>
          <w:tcPr>
            <w:tcW w:w="1134" w:type="dxa"/>
            <w:vAlign w:val="center"/>
          </w:tcPr>
          <w:p w:rsidR="00107C8C" w:rsidRPr="00B250E1" w:rsidRDefault="00107C8C" w:rsidP="002B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50E1">
              <w:rPr>
                <w:rFonts w:ascii="Times New Roman" w:hAnsi="Times New Roman" w:cs="Times New Roman"/>
                <w:sz w:val="20"/>
                <w:szCs w:val="20"/>
              </w:rPr>
              <w:t>0,0</w:t>
            </w:r>
          </w:p>
        </w:tc>
      </w:tr>
    </w:tbl>
    <w:p w:rsidR="00D13155" w:rsidRDefault="00D13155" w:rsidP="006E4F72">
      <w:pPr>
        <w:pStyle w:val="Default"/>
        <w:tabs>
          <w:tab w:val="left" w:pos="851"/>
        </w:tabs>
        <w:spacing w:line="360" w:lineRule="auto"/>
        <w:jc w:val="both"/>
        <w:rPr>
          <w:rFonts w:ascii="Times New Roman" w:hAnsi="Times New Roman" w:cs="Times New Roman"/>
          <w:szCs w:val="23"/>
        </w:rPr>
      </w:pPr>
    </w:p>
    <w:p w:rsidR="00C10D16" w:rsidRDefault="006B6070" w:rsidP="006E4F72">
      <w:pPr>
        <w:pStyle w:val="Default"/>
        <w:tabs>
          <w:tab w:val="left" w:pos="851"/>
        </w:tabs>
        <w:spacing w:line="360" w:lineRule="auto"/>
        <w:jc w:val="both"/>
        <w:rPr>
          <w:rFonts w:ascii="Times New Roman" w:hAnsi="Times New Roman" w:cs="Times New Roman"/>
          <w:szCs w:val="23"/>
        </w:rPr>
      </w:pPr>
      <w:r>
        <w:rPr>
          <w:rFonts w:ascii="Times New Roman" w:hAnsi="Times New Roman" w:cs="Times New Roman"/>
          <w:szCs w:val="23"/>
        </w:rPr>
        <w:tab/>
      </w:r>
      <w:r w:rsidR="00937F4E" w:rsidRPr="00AA2AB2">
        <w:rPr>
          <w:rFonts w:ascii="Times New Roman" w:hAnsi="Times New Roman" w:cs="Times New Roman"/>
        </w:rPr>
        <w:t>Vertinant 2018 metų 7–17 m. amžiaus vaikų ligotumo pokyčius su 2017 m., didžiausia</w:t>
      </w:r>
      <w:r w:rsidR="002877B2">
        <w:rPr>
          <w:rFonts w:ascii="Times New Roman" w:hAnsi="Times New Roman" w:cs="Times New Roman"/>
        </w:rPr>
        <w:t xml:space="preserve">s ligotumo augimas nustatytas </w:t>
      </w:r>
      <w:r w:rsidR="00937F4E" w:rsidRPr="00AA2AB2">
        <w:rPr>
          <w:rFonts w:ascii="Times New Roman" w:hAnsi="Times New Roman" w:cs="Times New Roman"/>
        </w:rPr>
        <w:t xml:space="preserve">asmenų </w:t>
      </w:r>
      <w:r w:rsidR="00975849">
        <w:rPr>
          <w:rFonts w:ascii="Times New Roman" w:hAnsi="Times New Roman" w:cs="Times New Roman"/>
        </w:rPr>
        <w:t>tam tikrų infekcinių ir parazitų sukeliamomis ligomis</w:t>
      </w:r>
      <w:r w:rsidR="00937F4E" w:rsidRPr="00AA2AB2">
        <w:rPr>
          <w:rFonts w:ascii="Times New Roman" w:hAnsi="Times New Roman" w:cs="Times New Roman"/>
        </w:rPr>
        <w:t xml:space="preserve"> (</w:t>
      </w:r>
      <w:r w:rsidR="00975849">
        <w:rPr>
          <w:rFonts w:ascii="Times New Roman" w:hAnsi="Times New Roman" w:cs="Times New Roman"/>
        </w:rPr>
        <w:t>9,16</w:t>
      </w:r>
      <w:r w:rsidR="00937F4E" w:rsidRPr="00AA2AB2">
        <w:rPr>
          <w:rFonts w:ascii="Times New Roman" w:hAnsi="Times New Roman" w:cs="Times New Roman"/>
        </w:rPr>
        <w:t xml:space="preserve"> atvej</w:t>
      </w:r>
      <w:r w:rsidR="00975849">
        <w:rPr>
          <w:rFonts w:ascii="Times New Roman" w:hAnsi="Times New Roman" w:cs="Times New Roman"/>
        </w:rPr>
        <w:t>ų</w:t>
      </w:r>
      <w:r w:rsidR="00937F4E" w:rsidRPr="00AA2AB2">
        <w:rPr>
          <w:rFonts w:ascii="Times New Roman" w:hAnsi="Times New Roman" w:cs="Times New Roman"/>
        </w:rPr>
        <w:t xml:space="preserve"> 1000 gyv. daugiau). Sekančiai didžiausias ligotumo augimas nustatytas </w:t>
      </w:r>
      <w:r w:rsidR="002877B2">
        <w:rPr>
          <w:rFonts w:ascii="Times New Roman" w:hAnsi="Times New Roman" w:cs="Times New Roman"/>
        </w:rPr>
        <w:t>virškinimo sistemos</w:t>
      </w:r>
      <w:r w:rsidR="00937F4E" w:rsidRPr="00AA2AB2">
        <w:rPr>
          <w:rFonts w:ascii="Times New Roman" w:hAnsi="Times New Roman" w:cs="Times New Roman"/>
        </w:rPr>
        <w:t xml:space="preserve"> ligomis (</w:t>
      </w:r>
      <w:r w:rsidR="002877B2">
        <w:rPr>
          <w:rFonts w:ascii="Times New Roman" w:hAnsi="Times New Roman" w:cs="Times New Roman"/>
        </w:rPr>
        <w:t>5,49</w:t>
      </w:r>
      <w:r w:rsidR="00937F4E" w:rsidRPr="00AA2AB2">
        <w:rPr>
          <w:rFonts w:ascii="Times New Roman" w:hAnsi="Times New Roman" w:cs="Times New Roman"/>
        </w:rPr>
        <w:t xml:space="preserve"> atvej</w:t>
      </w:r>
      <w:r w:rsidR="002877B2">
        <w:rPr>
          <w:rFonts w:ascii="Times New Roman" w:hAnsi="Times New Roman" w:cs="Times New Roman"/>
        </w:rPr>
        <w:t>ai</w:t>
      </w:r>
      <w:r w:rsidR="00937F4E" w:rsidRPr="00AA2AB2">
        <w:rPr>
          <w:rFonts w:ascii="Times New Roman" w:hAnsi="Times New Roman" w:cs="Times New Roman"/>
        </w:rPr>
        <w:t xml:space="preserve"> 1000 gyv. daugiau). Ligotumas </w:t>
      </w:r>
      <w:r w:rsidR="002877B2">
        <w:rPr>
          <w:rFonts w:ascii="Times New Roman" w:hAnsi="Times New Roman" w:cs="Times New Roman"/>
        </w:rPr>
        <w:t>psichikos ir elgesio sutrikimais</w:t>
      </w:r>
      <w:r w:rsidR="00937F4E" w:rsidRPr="00AA2AB2">
        <w:rPr>
          <w:rFonts w:ascii="Times New Roman" w:hAnsi="Times New Roman" w:cs="Times New Roman"/>
        </w:rPr>
        <w:t xml:space="preserve"> išaugo </w:t>
      </w:r>
      <w:r w:rsidR="002877B2">
        <w:rPr>
          <w:rFonts w:ascii="Times New Roman" w:hAnsi="Times New Roman" w:cs="Times New Roman"/>
        </w:rPr>
        <w:t>3,72</w:t>
      </w:r>
      <w:r w:rsidR="00937F4E" w:rsidRPr="00AA2AB2">
        <w:rPr>
          <w:rFonts w:ascii="Times New Roman" w:hAnsi="Times New Roman" w:cs="Times New Roman"/>
        </w:rPr>
        <w:t xml:space="preserve"> atvejų 1000 gyventojų. Likusiose </w:t>
      </w:r>
      <w:r w:rsidR="0072728C">
        <w:rPr>
          <w:rFonts w:ascii="Times New Roman" w:hAnsi="Times New Roman" w:cs="Times New Roman"/>
        </w:rPr>
        <w:t>2</w:t>
      </w:r>
      <w:r w:rsidR="00937F4E" w:rsidRPr="00AA2AB2">
        <w:rPr>
          <w:rFonts w:ascii="Times New Roman" w:hAnsi="Times New Roman" w:cs="Times New Roman"/>
        </w:rPr>
        <w:t xml:space="preserve"> lentelėje nurodytose ligų grupėse, kuriose ligotumas išaugo, pokytis siekė iki 3 atvejų 1000 gyventojų. Vertinant ligotumo atvejų mažėjimą, 2018 m. daugiausiai sumažėjo sergančių asmenų skaičius </w:t>
      </w:r>
      <w:r w:rsidR="00525CA7">
        <w:rPr>
          <w:rFonts w:ascii="Times New Roman" w:hAnsi="Times New Roman" w:cs="Times New Roman"/>
        </w:rPr>
        <w:t>kvėpavimo sistemos</w:t>
      </w:r>
      <w:r w:rsidR="00937F4E" w:rsidRPr="00AA2AB2">
        <w:rPr>
          <w:rFonts w:ascii="Times New Roman" w:hAnsi="Times New Roman" w:cs="Times New Roman"/>
        </w:rPr>
        <w:t xml:space="preserve"> ligomis (</w:t>
      </w:r>
      <w:r w:rsidR="00525CA7">
        <w:rPr>
          <w:rFonts w:ascii="Times New Roman" w:hAnsi="Times New Roman" w:cs="Times New Roman"/>
        </w:rPr>
        <w:t>2,7</w:t>
      </w:r>
      <w:r w:rsidR="00937F4E" w:rsidRPr="00AA2AB2">
        <w:rPr>
          <w:rFonts w:ascii="Times New Roman" w:hAnsi="Times New Roman" w:cs="Times New Roman"/>
        </w:rPr>
        <w:t xml:space="preserve"> atvejo 1000 gyv. mažiau) palyginus su 2017 metais. Toliau atitinkamai </w:t>
      </w:r>
      <w:r w:rsidR="00525CA7">
        <w:rPr>
          <w:rFonts w:ascii="Times New Roman" w:hAnsi="Times New Roman" w:cs="Times New Roman"/>
        </w:rPr>
        <w:t>1,14 atvejų</w:t>
      </w:r>
      <w:r w:rsidR="00937F4E" w:rsidRPr="00AA2AB2">
        <w:rPr>
          <w:rFonts w:ascii="Times New Roman" w:hAnsi="Times New Roman" w:cs="Times New Roman"/>
        </w:rPr>
        <w:t xml:space="preserve"> 1000 gyv., sumažėjo sergančių </w:t>
      </w:r>
      <w:r w:rsidR="00525CA7">
        <w:rPr>
          <w:rFonts w:ascii="Times New Roman" w:hAnsi="Times New Roman" w:cs="Times New Roman"/>
        </w:rPr>
        <w:t xml:space="preserve">ausies ir speninės ataugos </w:t>
      </w:r>
      <w:r w:rsidR="00937F4E" w:rsidRPr="00AA2AB2">
        <w:rPr>
          <w:rFonts w:ascii="Times New Roman" w:hAnsi="Times New Roman" w:cs="Times New Roman"/>
        </w:rPr>
        <w:t xml:space="preserve">ligomis skaičius, </w:t>
      </w:r>
      <w:r w:rsidR="00525CA7">
        <w:rPr>
          <w:rFonts w:ascii="Times New Roman" w:hAnsi="Times New Roman" w:cs="Times New Roman"/>
        </w:rPr>
        <w:t>1,13</w:t>
      </w:r>
      <w:r w:rsidR="00937F4E" w:rsidRPr="00AA2AB2">
        <w:rPr>
          <w:rFonts w:ascii="Times New Roman" w:hAnsi="Times New Roman" w:cs="Times New Roman"/>
        </w:rPr>
        <w:t xml:space="preserve"> atvejo 1000 gyv. sumažėjo sergančių vaikų </w:t>
      </w:r>
      <w:r w:rsidR="00525CA7">
        <w:rPr>
          <w:rFonts w:ascii="Times New Roman" w:hAnsi="Times New Roman" w:cs="Times New Roman"/>
        </w:rPr>
        <w:t>nervų sistemos</w:t>
      </w:r>
      <w:r w:rsidR="00937F4E" w:rsidRPr="00AA2AB2">
        <w:rPr>
          <w:rFonts w:ascii="Times New Roman" w:hAnsi="Times New Roman" w:cs="Times New Roman"/>
        </w:rPr>
        <w:t xml:space="preserve"> ligomis skaičius, likusiose </w:t>
      </w:r>
      <w:r w:rsidR="00525CA7">
        <w:rPr>
          <w:rFonts w:ascii="Times New Roman" w:hAnsi="Times New Roman" w:cs="Times New Roman"/>
        </w:rPr>
        <w:t>2</w:t>
      </w:r>
      <w:r w:rsidR="00937F4E" w:rsidRPr="00AA2AB2">
        <w:rPr>
          <w:rFonts w:ascii="Times New Roman" w:hAnsi="Times New Roman" w:cs="Times New Roman"/>
        </w:rPr>
        <w:t xml:space="preserve"> lentelėje nurodytose ligų grupėse, kuriose ligotumas mažėjo, pokytis siekė iki </w:t>
      </w:r>
      <w:r w:rsidR="00525CA7">
        <w:rPr>
          <w:rFonts w:ascii="Times New Roman" w:hAnsi="Times New Roman" w:cs="Times New Roman"/>
        </w:rPr>
        <w:t>1,12</w:t>
      </w:r>
      <w:r w:rsidR="00937F4E" w:rsidRPr="00AA2AB2">
        <w:rPr>
          <w:rFonts w:ascii="Times New Roman" w:hAnsi="Times New Roman" w:cs="Times New Roman"/>
        </w:rPr>
        <w:t xml:space="preserve"> atvejų 1000 gyventojų. </w:t>
      </w:r>
    </w:p>
    <w:p w:rsidR="002B75A3" w:rsidRDefault="002B75A3" w:rsidP="002B75A3">
      <w:pPr>
        <w:spacing w:after="0" w:line="240" w:lineRule="auto"/>
        <w:rPr>
          <w:rFonts w:ascii="Times New Roman" w:hAnsi="Times New Roman" w:cs="Times New Roman"/>
          <w:sz w:val="24"/>
        </w:rPr>
      </w:pPr>
    </w:p>
    <w:p w:rsidR="002B75A3" w:rsidRDefault="002B75A3" w:rsidP="002B75A3">
      <w:pPr>
        <w:spacing w:after="0" w:line="240" w:lineRule="auto"/>
        <w:rPr>
          <w:rFonts w:ascii="Times New Roman" w:hAnsi="Times New Roman" w:cs="Times New Roman"/>
          <w:sz w:val="24"/>
        </w:rPr>
      </w:pPr>
    </w:p>
    <w:p w:rsidR="00506DDC" w:rsidRPr="00D2109A" w:rsidRDefault="00506DDC" w:rsidP="002B75A3">
      <w:pPr>
        <w:spacing w:after="0" w:line="240" w:lineRule="auto"/>
        <w:rPr>
          <w:rFonts w:ascii="Times New Roman" w:hAnsi="Times New Roman" w:cs="Times New Roman"/>
          <w:sz w:val="24"/>
        </w:rPr>
      </w:pPr>
      <w:r w:rsidRPr="00D2109A">
        <w:rPr>
          <w:rFonts w:ascii="Times New Roman" w:hAnsi="Times New Roman" w:cs="Times New Roman"/>
          <w:sz w:val="24"/>
        </w:rPr>
        <w:lastRenderedPageBreak/>
        <w:t>A</w:t>
      </w:r>
      <w:r>
        <w:rPr>
          <w:rFonts w:ascii="Times New Roman" w:hAnsi="Times New Roman" w:cs="Times New Roman"/>
          <w:sz w:val="24"/>
        </w:rPr>
        <w:t xml:space="preserve">nalizę </w:t>
      </w:r>
      <w:r w:rsidRPr="00D2109A">
        <w:rPr>
          <w:rFonts w:ascii="Times New Roman" w:hAnsi="Times New Roman" w:cs="Times New Roman"/>
          <w:sz w:val="24"/>
        </w:rPr>
        <w:t>parengė:</w:t>
      </w:r>
    </w:p>
    <w:p w:rsidR="00C237DF" w:rsidRPr="00C237DF" w:rsidRDefault="00506DDC" w:rsidP="002B75A3">
      <w:pPr>
        <w:spacing w:after="0" w:line="240" w:lineRule="auto"/>
        <w:jc w:val="both"/>
        <w:rPr>
          <w:rFonts w:ascii="Arial Black" w:hAnsi="Arial Black" w:cs="Times New Roman"/>
          <w:b/>
          <w:sz w:val="24"/>
          <w:szCs w:val="23"/>
        </w:rPr>
      </w:pPr>
      <w:r w:rsidRPr="00D2109A">
        <w:rPr>
          <w:rFonts w:ascii="Times New Roman" w:hAnsi="Times New Roman" w:cs="Times New Roman"/>
          <w:sz w:val="24"/>
        </w:rPr>
        <w:t>Raseinių rajono savivaldybės visuomenės sveikatos biuro visuomenės sveikatos</w:t>
      </w:r>
      <w:r w:rsidR="00D13155">
        <w:rPr>
          <w:rFonts w:ascii="Times New Roman" w:hAnsi="Times New Roman" w:cs="Times New Roman"/>
          <w:sz w:val="24"/>
        </w:rPr>
        <w:t xml:space="preserve"> specialistė, vykdanti visuomenės sveikatos </w:t>
      </w:r>
      <w:r w:rsidR="002D5960">
        <w:rPr>
          <w:rFonts w:ascii="Times New Roman" w:hAnsi="Times New Roman" w:cs="Times New Roman"/>
          <w:sz w:val="24"/>
        </w:rPr>
        <w:t>stebėseną</w:t>
      </w:r>
      <w:r>
        <w:rPr>
          <w:rFonts w:ascii="Times New Roman" w:hAnsi="Times New Roman" w:cs="Times New Roman"/>
          <w:sz w:val="24"/>
        </w:rPr>
        <w:t xml:space="preserve"> </w:t>
      </w:r>
      <w:r w:rsidRPr="00D2109A">
        <w:rPr>
          <w:rFonts w:ascii="Times New Roman" w:hAnsi="Times New Roman" w:cs="Times New Roman"/>
          <w:sz w:val="24"/>
        </w:rPr>
        <w:t xml:space="preserve">Asta Kavaliauskienė, (8 683) 55 044, el. p. </w:t>
      </w:r>
      <w:hyperlink r:id="rId17" w:history="1">
        <w:r w:rsidRPr="00D2109A">
          <w:rPr>
            <w:rStyle w:val="Hipersaitas"/>
            <w:rFonts w:ascii="Times New Roman" w:hAnsi="Times New Roman" w:cs="Times New Roman"/>
            <w:sz w:val="24"/>
          </w:rPr>
          <w:t>astakavaliauskiene1@gmail.com</w:t>
        </w:r>
      </w:hyperlink>
    </w:p>
    <w:sectPr w:rsidR="00C237DF" w:rsidRPr="00C237DF" w:rsidSect="006230E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 DARLING">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entury Gothic">
    <w:altName w:val="Century Gothic"/>
    <w:panose1 w:val="020B0502020202020204"/>
    <w:charset w:val="BA"/>
    <w:family w:val="swiss"/>
    <w:pitch w:val="variable"/>
    <w:sig w:usb0="00000287" w:usb1="00000000" w:usb2="00000000" w:usb3="00000000" w:csb0="0000009F" w:csb1="00000000"/>
  </w:font>
  <w:font w:name="Arial Black">
    <w:panose1 w:val="020B0A04020102020204"/>
    <w:charset w:val="BA"/>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CB"/>
    <w:rsid w:val="00020348"/>
    <w:rsid w:val="00023F04"/>
    <w:rsid w:val="000261D5"/>
    <w:rsid w:val="00096025"/>
    <w:rsid w:val="000B1B49"/>
    <w:rsid w:val="000D0037"/>
    <w:rsid w:val="000F4111"/>
    <w:rsid w:val="00107C8C"/>
    <w:rsid w:val="00137A6E"/>
    <w:rsid w:val="0015697D"/>
    <w:rsid w:val="001600A4"/>
    <w:rsid w:val="00171642"/>
    <w:rsid w:val="00173DEF"/>
    <w:rsid w:val="00176FB6"/>
    <w:rsid w:val="0017761E"/>
    <w:rsid w:val="001C70D0"/>
    <w:rsid w:val="001E1810"/>
    <w:rsid w:val="001E7679"/>
    <w:rsid w:val="00204AB7"/>
    <w:rsid w:val="00207E17"/>
    <w:rsid w:val="002262FC"/>
    <w:rsid w:val="00243D8D"/>
    <w:rsid w:val="002562A1"/>
    <w:rsid w:val="00257B9A"/>
    <w:rsid w:val="002877B2"/>
    <w:rsid w:val="002A08CF"/>
    <w:rsid w:val="002B2C5A"/>
    <w:rsid w:val="002B75A3"/>
    <w:rsid w:val="002C22F1"/>
    <w:rsid w:val="002D3813"/>
    <w:rsid w:val="002D5960"/>
    <w:rsid w:val="002E4E48"/>
    <w:rsid w:val="002E52F4"/>
    <w:rsid w:val="002F18AA"/>
    <w:rsid w:val="00310581"/>
    <w:rsid w:val="003278FC"/>
    <w:rsid w:val="00332C1B"/>
    <w:rsid w:val="003336AF"/>
    <w:rsid w:val="003831B1"/>
    <w:rsid w:val="00394ECF"/>
    <w:rsid w:val="003A1A44"/>
    <w:rsid w:val="003A57E1"/>
    <w:rsid w:val="003B3D38"/>
    <w:rsid w:val="003C0FBE"/>
    <w:rsid w:val="003C5D11"/>
    <w:rsid w:val="003D7923"/>
    <w:rsid w:val="00400A15"/>
    <w:rsid w:val="00410F91"/>
    <w:rsid w:val="0043046F"/>
    <w:rsid w:val="00431AC9"/>
    <w:rsid w:val="00457C1C"/>
    <w:rsid w:val="004754A9"/>
    <w:rsid w:val="0049141F"/>
    <w:rsid w:val="00493E96"/>
    <w:rsid w:val="00495337"/>
    <w:rsid w:val="00496E39"/>
    <w:rsid w:val="004B728B"/>
    <w:rsid w:val="004F04FE"/>
    <w:rsid w:val="004F64DC"/>
    <w:rsid w:val="00506DDC"/>
    <w:rsid w:val="00525CA7"/>
    <w:rsid w:val="00540D1C"/>
    <w:rsid w:val="00550FA5"/>
    <w:rsid w:val="005544EC"/>
    <w:rsid w:val="005C099B"/>
    <w:rsid w:val="005D3A47"/>
    <w:rsid w:val="005D42BD"/>
    <w:rsid w:val="005D708B"/>
    <w:rsid w:val="005E5A5C"/>
    <w:rsid w:val="005E7344"/>
    <w:rsid w:val="00603970"/>
    <w:rsid w:val="00622D98"/>
    <w:rsid w:val="006230EF"/>
    <w:rsid w:val="006300D4"/>
    <w:rsid w:val="00637184"/>
    <w:rsid w:val="0065369D"/>
    <w:rsid w:val="00663CA6"/>
    <w:rsid w:val="006771EC"/>
    <w:rsid w:val="00697181"/>
    <w:rsid w:val="006A1601"/>
    <w:rsid w:val="006B1507"/>
    <w:rsid w:val="006B4EB9"/>
    <w:rsid w:val="006B6070"/>
    <w:rsid w:val="006D0B9C"/>
    <w:rsid w:val="006E4F72"/>
    <w:rsid w:val="006F5821"/>
    <w:rsid w:val="00701613"/>
    <w:rsid w:val="0070678B"/>
    <w:rsid w:val="00714527"/>
    <w:rsid w:val="00714824"/>
    <w:rsid w:val="00720EBA"/>
    <w:rsid w:val="0072728C"/>
    <w:rsid w:val="007533B6"/>
    <w:rsid w:val="00754A25"/>
    <w:rsid w:val="00760D8D"/>
    <w:rsid w:val="00767DFC"/>
    <w:rsid w:val="00794137"/>
    <w:rsid w:val="007A467A"/>
    <w:rsid w:val="007A5856"/>
    <w:rsid w:val="007F4BD1"/>
    <w:rsid w:val="007F71BA"/>
    <w:rsid w:val="00805723"/>
    <w:rsid w:val="00811C0E"/>
    <w:rsid w:val="00817A2C"/>
    <w:rsid w:val="008225DD"/>
    <w:rsid w:val="00840A60"/>
    <w:rsid w:val="00871871"/>
    <w:rsid w:val="00871DD9"/>
    <w:rsid w:val="00896E4A"/>
    <w:rsid w:val="008C2F8D"/>
    <w:rsid w:val="008F4F8F"/>
    <w:rsid w:val="009012CA"/>
    <w:rsid w:val="00904C13"/>
    <w:rsid w:val="00904CD1"/>
    <w:rsid w:val="0091523E"/>
    <w:rsid w:val="00937F4E"/>
    <w:rsid w:val="00953478"/>
    <w:rsid w:val="00953C6C"/>
    <w:rsid w:val="00975849"/>
    <w:rsid w:val="00985223"/>
    <w:rsid w:val="00997EAC"/>
    <w:rsid w:val="009B2288"/>
    <w:rsid w:val="009C343D"/>
    <w:rsid w:val="009E0DF0"/>
    <w:rsid w:val="009F624E"/>
    <w:rsid w:val="00A21C0F"/>
    <w:rsid w:val="00A22AE2"/>
    <w:rsid w:val="00A2747E"/>
    <w:rsid w:val="00A31F3A"/>
    <w:rsid w:val="00A33669"/>
    <w:rsid w:val="00A4219B"/>
    <w:rsid w:val="00A557E6"/>
    <w:rsid w:val="00A629ED"/>
    <w:rsid w:val="00A653C9"/>
    <w:rsid w:val="00A9023D"/>
    <w:rsid w:val="00AA2AB2"/>
    <w:rsid w:val="00AB06C5"/>
    <w:rsid w:val="00AC192C"/>
    <w:rsid w:val="00AC19BC"/>
    <w:rsid w:val="00AE5BD3"/>
    <w:rsid w:val="00AF0226"/>
    <w:rsid w:val="00B001D7"/>
    <w:rsid w:val="00B02186"/>
    <w:rsid w:val="00B0512B"/>
    <w:rsid w:val="00B20082"/>
    <w:rsid w:val="00B250E1"/>
    <w:rsid w:val="00B759EE"/>
    <w:rsid w:val="00B91E00"/>
    <w:rsid w:val="00BC5BA0"/>
    <w:rsid w:val="00BE3B8F"/>
    <w:rsid w:val="00BF1065"/>
    <w:rsid w:val="00BF130C"/>
    <w:rsid w:val="00C10625"/>
    <w:rsid w:val="00C10D16"/>
    <w:rsid w:val="00C116D6"/>
    <w:rsid w:val="00C14877"/>
    <w:rsid w:val="00C237DF"/>
    <w:rsid w:val="00C23DF8"/>
    <w:rsid w:val="00C353CB"/>
    <w:rsid w:val="00C43899"/>
    <w:rsid w:val="00C454EA"/>
    <w:rsid w:val="00C505B0"/>
    <w:rsid w:val="00C555B7"/>
    <w:rsid w:val="00C61B8F"/>
    <w:rsid w:val="00C67BCA"/>
    <w:rsid w:val="00C805E8"/>
    <w:rsid w:val="00CA3DCF"/>
    <w:rsid w:val="00CA420A"/>
    <w:rsid w:val="00CB0C37"/>
    <w:rsid w:val="00CC78A5"/>
    <w:rsid w:val="00CE0F2B"/>
    <w:rsid w:val="00CF0D99"/>
    <w:rsid w:val="00D05ECB"/>
    <w:rsid w:val="00D13155"/>
    <w:rsid w:val="00D13214"/>
    <w:rsid w:val="00D17336"/>
    <w:rsid w:val="00D20E43"/>
    <w:rsid w:val="00D258D4"/>
    <w:rsid w:val="00D5268B"/>
    <w:rsid w:val="00D545AC"/>
    <w:rsid w:val="00D83690"/>
    <w:rsid w:val="00D93DA0"/>
    <w:rsid w:val="00DA4353"/>
    <w:rsid w:val="00DB0D1D"/>
    <w:rsid w:val="00DB453D"/>
    <w:rsid w:val="00DD5218"/>
    <w:rsid w:val="00DF77B7"/>
    <w:rsid w:val="00E1370E"/>
    <w:rsid w:val="00E17DAD"/>
    <w:rsid w:val="00E26A9E"/>
    <w:rsid w:val="00E31501"/>
    <w:rsid w:val="00E333CD"/>
    <w:rsid w:val="00E41290"/>
    <w:rsid w:val="00E56A58"/>
    <w:rsid w:val="00E65C1D"/>
    <w:rsid w:val="00E75962"/>
    <w:rsid w:val="00E827C8"/>
    <w:rsid w:val="00EE1AA8"/>
    <w:rsid w:val="00F13786"/>
    <w:rsid w:val="00F53238"/>
    <w:rsid w:val="00F55C62"/>
    <w:rsid w:val="00F72CF2"/>
    <w:rsid w:val="00F7392B"/>
    <w:rsid w:val="00F73EF6"/>
    <w:rsid w:val="00F747A0"/>
    <w:rsid w:val="00F93126"/>
    <w:rsid w:val="00FE5AE3"/>
    <w:rsid w:val="00FF7D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3E367-DEA3-425D-BDD4-7C61ADF9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40A6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4">
    <w:name w:val="A4"/>
    <w:uiPriority w:val="99"/>
    <w:rsid w:val="00997EAC"/>
    <w:rPr>
      <w:rFonts w:cs="AR DARLING"/>
      <w:color w:val="000000"/>
      <w:sz w:val="48"/>
      <w:szCs w:val="48"/>
    </w:rPr>
  </w:style>
  <w:style w:type="paragraph" w:styleId="Debesliotekstas">
    <w:name w:val="Balloon Text"/>
    <w:basedOn w:val="prastasis"/>
    <w:link w:val="DebesliotekstasDiagrama"/>
    <w:uiPriority w:val="99"/>
    <w:semiHidden/>
    <w:unhideWhenUsed/>
    <w:rsid w:val="007A467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467A"/>
    <w:rPr>
      <w:rFonts w:ascii="Tahoma" w:hAnsi="Tahoma" w:cs="Tahoma"/>
      <w:sz w:val="16"/>
      <w:szCs w:val="16"/>
    </w:rPr>
  </w:style>
  <w:style w:type="paragraph" w:customStyle="1" w:styleId="Pa0">
    <w:name w:val="Pa0"/>
    <w:basedOn w:val="prastasis"/>
    <w:next w:val="prastasis"/>
    <w:uiPriority w:val="99"/>
    <w:rsid w:val="00985223"/>
    <w:pPr>
      <w:autoSpaceDE w:val="0"/>
      <w:autoSpaceDN w:val="0"/>
      <w:adjustRightInd w:val="0"/>
      <w:spacing w:after="0" w:line="241" w:lineRule="atLeast"/>
    </w:pPr>
    <w:rPr>
      <w:rFonts w:ascii="Calibri" w:hAnsi="Calibri"/>
      <w:sz w:val="24"/>
      <w:szCs w:val="24"/>
    </w:rPr>
  </w:style>
  <w:style w:type="table" w:styleId="Lentelstinklelis">
    <w:name w:val="Table Grid"/>
    <w:basedOn w:val="prastojilentel"/>
    <w:uiPriority w:val="59"/>
    <w:rsid w:val="00E315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kumentostruktra">
    <w:name w:val="Document Map"/>
    <w:basedOn w:val="prastasis"/>
    <w:link w:val="DokumentostruktraDiagrama"/>
    <w:uiPriority w:val="99"/>
    <w:semiHidden/>
    <w:unhideWhenUsed/>
    <w:rsid w:val="00F55C62"/>
    <w:pPr>
      <w:spacing w:after="0" w:line="240" w:lineRule="auto"/>
    </w:pPr>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F55C62"/>
    <w:rPr>
      <w:rFonts w:ascii="Tahoma" w:hAnsi="Tahoma" w:cs="Tahoma"/>
      <w:sz w:val="16"/>
      <w:szCs w:val="16"/>
    </w:rPr>
  </w:style>
  <w:style w:type="table" w:styleId="Spalvotastinklelis1parykinimas">
    <w:name w:val="Colorful Grid Accent 1"/>
    <w:basedOn w:val="prastojilentel"/>
    <w:uiPriority w:val="73"/>
    <w:rsid w:val="00F747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3vidutinistinklelis1parykinimas">
    <w:name w:val="Medium Grid 3 Accent 1"/>
    <w:basedOn w:val="prastojilentel"/>
    <w:uiPriority w:val="69"/>
    <w:rsid w:val="00F747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2vidutinisspalvinimas1parykinimas1">
    <w:name w:val="2 vidutinis spalvinimas – 1 paryškinimas1"/>
    <w:basedOn w:val="prastojilentel"/>
    <w:uiPriority w:val="64"/>
    <w:rsid w:val="00F747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vidutinistinklelis6parykinimas">
    <w:name w:val="Medium Grid 3 Accent 6"/>
    <w:basedOn w:val="prastojilentel"/>
    <w:uiPriority w:val="69"/>
    <w:rsid w:val="00F747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vidutinistinklelis6parykinimas">
    <w:name w:val="Medium Grid 2 Accent 6"/>
    <w:basedOn w:val="prastojilentel"/>
    <w:uiPriority w:val="68"/>
    <w:rsid w:val="00F747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vidutinisspalvinimas6parykinimas">
    <w:name w:val="Medium Shading 1 Accent 6"/>
    <w:basedOn w:val="prastojilentel"/>
    <w:uiPriority w:val="63"/>
    <w:rsid w:val="00CA3DC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1vidutinisspalvinimas1parykinimas1">
    <w:name w:val="1 vidutinis spalvinimas – 1 paryškinimas1"/>
    <w:basedOn w:val="prastojilentel"/>
    <w:uiPriority w:val="63"/>
    <w:rsid w:val="00CA3D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a1">
    <w:name w:val="Pa1"/>
    <w:basedOn w:val="prastasis"/>
    <w:next w:val="prastasis"/>
    <w:uiPriority w:val="99"/>
    <w:rsid w:val="004F64DC"/>
    <w:pPr>
      <w:autoSpaceDE w:val="0"/>
      <w:autoSpaceDN w:val="0"/>
      <w:adjustRightInd w:val="0"/>
      <w:spacing w:after="0" w:line="241" w:lineRule="atLeast"/>
    </w:pPr>
    <w:rPr>
      <w:rFonts w:ascii="Calibri" w:hAnsi="Calibri"/>
      <w:sz w:val="24"/>
      <w:szCs w:val="24"/>
    </w:rPr>
  </w:style>
  <w:style w:type="character" w:customStyle="1" w:styleId="A21">
    <w:name w:val="A21"/>
    <w:uiPriority w:val="99"/>
    <w:rsid w:val="00410F91"/>
    <w:rPr>
      <w:rFonts w:cs="AR DARLING"/>
      <w:color w:val="000000"/>
      <w:sz w:val="29"/>
      <w:szCs w:val="29"/>
    </w:rPr>
  </w:style>
  <w:style w:type="character" w:customStyle="1" w:styleId="A7">
    <w:name w:val="A7"/>
    <w:uiPriority w:val="99"/>
    <w:rsid w:val="00410F91"/>
    <w:rPr>
      <w:rFonts w:ascii="Calibri" w:hAnsi="Calibri" w:cs="Calibri"/>
      <w:i/>
      <w:iCs/>
      <w:color w:val="000000"/>
      <w:sz w:val="20"/>
      <w:szCs w:val="20"/>
    </w:rPr>
  </w:style>
  <w:style w:type="character" w:customStyle="1" w:styleId="A1">
    <w:name w:val="A1"/>
    <w:uiPriority w:val="99"/>
    <w:rsid w:val="00410F91"/>
    <w:rPr>
      <w:rFonts w:cs="AR DARLING"/>
      <w:color w:val="000000"/>
      <w:sz w:val="36"/>
      <w:szCs w:val="36"/>
    </w:rPr>
  </w:style>
  <w:style w:type="character" w:customStyle="1" w:styleId="A22">
    <w:name w:val="A22"/>
    <w:uiPriority w:val="99"/>
    <w:rsid w:val="00410F91"/>
    <w:rPr>
      <w:rFonts w:cs="AR DARLING"/>
      <w:color w:val="000000"/>
      <w:sz w:val="20"/>
      <w:szCs w:val="20"/>
    </w:rPr>
  </w:style>
  <w:style w:type="table" w:customStyle="1" w:styleId="1vidutinissraas1parykinimas1">
    <w:name w:val="1 vidutinis sąrašas – 1 paryškinimas1"/>
    <w:basedOn w:val="prastojilentel"/>
    <w:uiPriority w:val="65"/>
    <w:rsid w:val="001600A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palvotassraas1parykinimas">
    <w:name w:val="Colorful List Accent 1"/>
    <w:basedOn w:val="prastojilentel"/>
    <w:uiPriority w:val="72"/>
    <w:rsid w:val="001600A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vidutinistinklelis1parykinimas">
    <w:name w:val="Medium Grid 1 Accent 1"/>
    <w:basedOn w:val="prastojilentel"/>
    <w:uiPriority w:val="67"/>
    <w:rsid w:val="001600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ipersaitas">
    <w:name w:val="Hyperlink"/>
    <w:basedOn w:val="Numatytasispastraiposriftas"/>
    <w:uiPriority w:val="99"/>
    <w:unhideWhenUsed/>
    <w:rsid w:val="00506DDC"/>
    <w:rPr>
      <w:color w:val="0000FF" w:themeColor="hyperlink"/>
      <w:u w:val="single"/>
    </w:rPr>
  </w:style>
  <w:style w:type="paragraph" w:customStyle="1" w:styleId="Default">
    <w:name w:val="Default"/>
    <w:rsid w:val="002E52F4"/>
    <w:pPr>
      <w:autoSpaceDE w:val="0"/>
      <w:autoSpaceDN w:val="0"/>
      <w:adjustRightInd w:val="0"/>
      <w:spacing w:after="0" w:line="240" w:lineRule="auto"/>
    </w:pPr>
    <w:rPr>
      <w:rFonts w:ascii="Century Gothic" w:hAnsi="Century Gothic" w:cs="Century Gothic"/>
      <w:color w:val="000000"/>
      <w:sz w:val="24"/>
      <w:szCs w:val="24"/>
    </w:rPr>
  </w:style>
  <w:style w:type="table" w:styleId="1vidutinistinklelis3parykinimas">
    <w:name w:val="Medium Grid 1 Accent 3"/>
    <w:basedOn w:val="prastojilentel"/>
    <w:uiPriority w:val="67"/>
    <w:rsid w:val="00A9023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iesusspalvinimas3parykinimas">
    <w:name w:val="Light Shading Accent 3"/>
    <w:basedOn w:val="prastojilentel"/>
    <w:uiPriority w:val="60"/>
    <w:rsid w:val="00A9023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vidutinisspalvinimas3parykinimas">
    <w:name w:val="Medium Shading 1 Accent 3"/>
    <w:basedOn w:val="prastojilentel"/>
    <w:uiPriority w:val="63"/>
    <w:rsid w:val="00A9023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viesustinklelis3parykinimas">
    <w:name w:val="Light Grid Accent 3"/>
    <w:basedOn w:val="prastojilentel"/>
    <w:uiPriority w:val="62"/>
    <w:rsid w:val="00A9023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vidutinisspalvinimas3parykinimas">
    <w:name w:val="Medium Shading 2 Accent 3"/>
    <w:basedOn w:val="prastojilentel"/>
    <w:uiPriority w:val="64"/>
    <w:rsid w:val="006371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7938">
      <w:bodyDiv w:val="1"/>
      <w:marLeft w:val="0"/>
      <w:marRight w:val="0"/>
      <w:marTop w:val="0"/>
      <w:marBottom w:val="0"/>
      <w:divBdr>
        <w:top w:val="none" w:sz="0" w:space="0" w:color="auto"/>
        <w:left w:val="none" w:sz="0" w:space="0" w:color="auto"/>
        <w:bottom w:val="none" w:sz="0" w:space="0" w:color="auto"/>
        <w:right w:val="none" w:sz="0" w:space="0" w:color="auto"/>
      </w:divBdr>
    </w:div>
    <w:div w:id="189343298">
      <w:bodyDiv w:val="1"/>
      <w:marLeft w:val="0"/>
      <w:marRight w:val="0"/>
      <w:marTop w:val="0"/>
      <w:marBottom w:val="0"/>
      <w:divBdr>
        <w:top w:val="none" w:sz="0" w:space="0" w:color="auto"/>
        <w:left w:val="none" w:sz="0" w:space="0" w:color="auto"/>
        <w:bottom w:val="none" w:sz="0" w:space="0" w:color="auto"/>
        <w:right w:val="none" w:sz="0" w:space="0" w:color="auto"/>
      </w:divBdr>
    </w:div>
    <w:div w:id="319046944">
      <w:bodyDiv w:val="1"/>
      <w:marLeft w:val="0"/>
      <w:marRight w:val="0"/>
      <w:marTop w:val="0"/>
      <w:marBottom w:val="0"/>
      <w:divBdr>
        <w:top w:val="none" w:sz="0" w:space="0" w:color="auto"/>
        <w:left w:val="none" w:sz="0" w:space="0" w:color="auto"/>
        <w:bottom w:val="none" w:sz="0" w:space="0" w:color="auto"/>
        <w:right w:val="none" w:sz="0" w:space="0" w:color="auto"/>
      </w:divBdr>
    </w:div>
    <w:div w:id="408115925">
      <w:bodyDiv w:val="1"/>
      <w:marLeft w:val="0"/>
      <w:marRight w:val="0"/>
      <w:marTop w:val="0"/>
      <w:marBottom w:val="0"/>
      <w:divBdr>
        <w:top w:val="none" w:sz="0" w:space="0" w:color="auto"/>
        <w:left w:val="none" w:sz="0" w:space="0" w:color="auto"/>
        <w:bottom w:val="none" w:sz="0" w:space="0" w:color="auto"/>
        <w:right w:val="none" w:sz="0" w:space="0" w:color="auto"/>
      </w:divBdr>
    </w:div>
    <w:div w:id="473834119">
      <w:bodyDiv w:val="1"/>
      <w:marLeft w:val="0"/>
      <w:marRight w:val="0"/>
      <w:marTop w:val="0"/>
      <w:marBottom w:val="0"/>
      <w:divBdr>
        <w:top w:val="none" w:sz="0" w:space="0" w:color="auto"/>
        <w:left w:val="none" w:sz="0" w:space="0" w:color="auto"/>
        <w:bottom w:val="none" w:sz="0" w:space="0" w:color="auto"/>
        <w:right w:val="none" w:sz="0" w:space="0" w:color="auto"/>
      </w:divBdr>
    </w:div>
    <w:div w:id="484592700">
      <w:bodyDiv w:val="1"/>
      <w:marLeft w:val="0"/>
      <w:marRight w:val="0"/>
      <w:marTop w:val="0"/>
      <w:marBottom w:val="0"/>
      <w:divBdr>
        <w:top w:val="none" w:sz="0" w:space="0" w:color="auto"/>
        <w:left w:val="none" w:sz="0" w:space="0" w:color="auto"/>
        <w:bottom w:val="none" w:sz="0" w:space="0" w:color="auto"/>
        <w:right w:val="none" w:sz="0" w:space="0" w:color="auto"/>
      </w:divBdr>
    </w:div>
    <w:div w:id="488061123">
      <w:bodyDiv w:val="1"/>
      <w:marLeft w:val="0"/>
      <w:marRight w:val="0"/>
      <w:marTop w:val="0"/>
      <w:marBottom w:val="0"/>
      <w:divBdr>
        <w:top w:val="none" w:sz="0" w:space="0" w:color="auto"/>
        <w:left w:val="none" w:sz="0" w:space="0" w:color="auto"/>
        <w:bottom w:val="none" w:sz="0" w:space="0" w:color="auto"/>
        <w:right w:val="none" w:sz="0" w:space="0" w:color="auto"/>
      </w:divBdr>
    </w:div>
    <w:div w:id="495076099">
      <w:bodyDiv w:val="1"/>
      <w:marLeft w:val="0"/>
      <w:marRight w:val="0"/>
      <w:marTop w:val="0"/>
      <w:marBottom w:val="0"/>
      <w:divBdr>
        <w:top w:val="none" w:sz="0" w:space="0" w:color="auto"/>
        <w:left w:val="none" w:sz="0" w:space="0" w:color="auto"/>
        <w:bottom w:val="none" w:sz="0" w:space="0" w:color="auto"/>
        <w:right w:val="none" w:sz="0" w:space="0" w:color="auto"/>
      </w:divBdr>
    </w:div>
    <w:div w:id="579752452">
      <w:bodyDiv w:val="1"/>
      <w:marLeft w:val="0"/>
      <w:marRight w:val="0"/>
      <w:marTop w:val="0"/>
      <w:marBottom w:val="0"/>
      <w:divBdr>
        <w:top w:val="none" w:sz="0" w:space="0" w:color="auto"/>
        <w:left w:val="none" w:sz="0" w:space="0" w:color="auto"/>
        <w:bottom w:val="none" w:sz="0" w:space="0" w:color="auto"/>
        <w:right w:val="none" w:sz="0" w:space="0" w:color="auto"/>
      </w:divBdr>
    </w:div>
    <w:div w:id="586693869">
      <w:bodyDiv w:val="1"/>
      <w:marLeft w:val="0"/>
      <w:marRight w:val="0"/>
      <w:marTop w:val="0"/>
      <w:marBottom w:val="0"/>
      <w:divBdr>
        <w:top w:val="none" w:sz="0" w:space="0" w:color="auto"/>
        <w:left w:val="none" w:sz="0" w:space="0" w:color="auto"/>
        <w:bottom w:val="none" w:sz="0" w:space="0" w:color="auto"/>
        <w:right w:val="none" w:sz="0" w:space="0" w:color="auto"/>
      </w:divBdr>
    </w:div>
    <w:div w:id="681007166">
      <w:bodyDiv w:val="1"/>
      <w:marLeft w:val="0"/>
      <w:marRight w:val="0"/>
      <w:marTop w:val="0"/>
      <w:marBottom w:val="0"/>
      <w:divBdr>
        <w:top w:val="none" w:sz="0" w:space="0" w:color="auto"/>
        <w:left w:val="none" w:sz="0" w:space="0" w:color="auto"/>
        <w:bottom w:val="none" w:sz="0" w:space="0" w:color="auto"/>
        <w:right w:val="none" w:sz="0" w:space="0" w:color="auto"/>
      </w:divBdr>
    </w:div>
    <w:div w:id="749619631">
      <w:bodyDiv w:val="1"/>
      <w:marLeft w:val="0"/>
      <w:marRight w:val="0"/>
      <w:marTop w:val="0"/>
      <w:marBottom w:val="0"/>
      <w:divBdr>
        <w:top w:val="none" w:sz="0" w:space="0" w:color="auto"/>
        <w:left w:val="none" w:sz="0" w:space="0" w:color="auto"/>
        <w:bottom w:val="none" w:sz="0" w:space="0" w:color="auto"/>
        <w:right w:val="none" w:sz="0" w:space="0" w:color="auto"/>
      </w:divBdr>
    </w:div>
    <w:div w:id="845678605">
      <w:bodyDiv w:val="1"/>
      <w:marLeft w:val="0"/>
      <w:marRight w:val="0"/>
      <w:marTop w:val="0"/>
      <w:marBottom w:val="0"/>
      <w:divBdr>
        <w:top w:val="none" w:sz="0" w:space="0" w:color="auto"/>
        <w:left w:val="none" w:sz="0" w:space="0" w:color="auto"/>
        <w:bottom w:val="none" w:sz="0" w:space="0" w:color="auto"/>
        <w:right w:val="none" w:sz="0" w:space="0" w:color="auto"/>
      </w:divBdr>
    </w:div>
    <w:div w:id="865364066">
      <w:bodyDiv w:val="1"/>
      <w:marLeft w:val="0"/>
      <w:marRight w:val="0"/>
      <w:marTop w:val="0"/>
      <w:marBottom w:val="0"/>
      <w:divBdr>
        <w:top w:val="none" w:sz="0" w:space="0" w:color="auto"/>
        <w:left w:val="none" w:sz="0" w:space="0" w:color="auto"/>
        <w:bottom w:val="none" w:sz="0" w:space="0" w:color="auto"/>
        <w:right w:val="none" w:sz="0" w:space="0" w:color="auto"/>
      </w:divBdr>
    </w:div>
    <w:div w:id="894052379">
      <w:bodyDiv w:val="1"/>
      <w:marLeft w:val="0"/>
      <w:marRight w:val="0"/>
      <w:marTop w:val="0"/>
      <w:marBottom w:val="0"/>
      <w:divBdr>
        <w:top w:val="none" w:sz="0" w:space="0" w:color="auto"/>
        <w:left w:val="none" w:sz="0" w:space="0" w:color="auto"/>
        <w:bottom w:val="none" w:sz="0" w:space="0" w:color="auto"/>
        <w:right w:val="none" w:sz="0" w:space="0" w:color="auto"/>
      </w:divBdr>
    </w:div>
    <w:div w:id="962808187">
      <w:bodyDiv w:val="1"/>
      <w:marLeft w:val="0"/>
      <w:marRight w:val="0"/>
      <w:marTop w:val="0"/>
      <w:marBottom w:val="0"/>
      <w:divBdr>
        <w:top w:val="none" w:sz="0" w:space="0" w:color="auto"/>
        <w:left w:val="none" w:sz="0" w:space="0" w:color="auto"/>
        <w:bottom w:val="none" w:sz="0" w:space="0" w:color="auto"/>
        <w:right w:val="none" w:sz="0" w:space="0" w:color="auto"/>
      </w:divBdr>
    </w:div>
    <w:div w:id="1059553011">
      <w:bodyDiv w:val="1"/>
      <w:marLeft w:val="0"/>
      <w:marRight w:val="0"/>
      <w:marTop w:val="0"/>
      <w:marBottom w:val="0"/>
      <w:divBdr>
        <w:top w:val="none" w:sz="0" w:space="0" w:color="auto"/>
        <w:left w:val="none" w:sz="0" w:space="0" w:color="auto"/>
        <w:bottom w:val="none" w:sz="0" w:space="0" w:color="auto"/>
        <w:right w:val="none" w:sz="0" w:space="0" w:color="auto"/>
      </w:divBdr>
    </w:div>
    <w:div w:id="1425300862">
      <w:bodyDiv w:val="1"/>
      <w:marLeft w:val="0"/>
      <w:marRight w:val="0"/>
      <w:marTop w:val="0"/>
      <w:marBottom w:val="0"/>
      <w:divBdr>
        <w:top w:val="none" w:sz="0" w:space="0" w:color="auto"/>
        <w:left w:val="none" w:sz="0" w:space="0" w:color="auto"/>
        <w:bottom w:val="none" w:sz="0" w:space="0" w:color="auto"/>
        <w:right w:val="none" w:sz="0" w:space="0" w:color="auto"/>
      </w:divBdr>
    </w:div>
    <w:div w:id="1620641218">
      <w:bodyDiv w:val="1"/>
      <w:marLeft w:val="0"/>
      <w:marRight w:val="0"/>
      <w:marTop w:val="0"/>
      <w:marBottom w:val="0"/>
      <w:divBdr>
        <w:top w:val="none" w:sz="0" w:space="0" w:color="auto"/>
        <w:left w:val="none" w:sz="0" w:space="0" w:color="auto"/>
        <w:bottom w:val="none" w:sz="0" w:space="0" w:color="auto"/>
        <w:right w:val="none" w:sz="0" w:space="0" w:color="auto"/>
      </w:divBdr>
    </w:div>
    <w:div w:id="1909610938">
      <w:bodyDiv w:val="1"/>
      <w:marLeft w:val="0"/>
      <w:marRight w:val="0"/>
      <w:marTop w:val="0"/>
      <w:marBottom w:val="0"/>
      <w:divBdr>
        <w:top w:val="none" w:sz="0" w:space="0" w:color="auto"/>
        <w:left w:val="none" w:sz="0" w:space="0" w:color="auto"/>
        <w:bottom w:val="none" w:sz="0" w:space="0" w:color="auto"/>
        <w:right w:val="none" w:sz="0" w:space="0" w:color="auto"/>
      </w:divBdr>
    </w:div>
    <w:div w:id="2012246704">
      <w:bodyDiv w:val="1"/>
      <w:marLeft w:val="0"/>
      <w:marRight w:val="0"/>
      <w:marTop w:val="0"/>
      <w:marBottom w:val="0"/>
      <w:divBdr>
        <w:top w:val="none" w:sz="0" w:space="0" w:color="auto"/>
        <w:left w:val="none" w:sz="0" w:space="0" w:color="auto"/>
        <w:bottom w:val="none" w:sz="0" w:space="0" w:color="auto"/>
        <w:right w:val="none" w:sz="0" w:space="0" w:color="auto"/>
      </w:divBdr>
    </w:div>
    <w:div w:id="20853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diagramData" Target="diagrams/data1.xml"/><Relationship Id="rId17" Type="http://schemas.openxmlformats.org/officeDocument/2006/relationships/hyperlink" Target="mailto:astakavaliauskiene1@gmail.com" TargetMode="Externa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diagramColors" Target="diagrams/colors1.xml"/><Relationship Id="rId10" Type="http://schemas.openxmlformats.org/officeDocument/2006/relationships/chart" Target="charts/chart6.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9.1596033868983767E-2"/>
          <c:y val="6.2330125400991782E-2"/>
          <c:w val="0.89736304902867159"/>
          <c:h val="0.74949357813400663"/>
        </c:manualLayout>
      </c:layout>
      <c:barChart>
        <c:barDir val="col"/>
        <c:grouping val="clustered"/>
        <c:varyColors val="0"/>
        <c:ser>
          <c:idx val="0"/>
          <c:order val="0"/>
          <c:tx>
            <c:strRef>
              <c:f>Lapas1!$B$1</c:f>
              <c:strCache>
                <c:ptCount val="1"/>
                <c:pt idx="0">
                  <c:v>1 seka</c:v>
                </c:pt>
              </c:strCache>
            </c:strRef>
          </c:tx>
          <c:invertIfNegative val="0"/>
          <c:dLbls>
            <c:dLbl>
              <c:idx val="1"/>
              <c:layout>
                <c:manualLayout>
                  <c:x val="-2.0855717021289269E-6"/>
                  <c:y val="1.02401508728826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5F-4E37-A54A-D5DF2EDF70D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2016 m.</c:v>
                </c:pt>
                <c:pt idx="1">
                  <c:v>2017 m.</c:v>
                </c:pt>
                <c:pt idx="2">
                  <c:v>2018 m.</c:v>
                </c:pt>
              </c:strCache>
            </c:strRef>
          </c:cat>
          <c:val>
            <c:numRef>
              <c:f>Lapas1!$B$2:$B$4</c:f>
              <c:numCache>
                <c:formatCode>General</c:formatCode>
                <c:ptCount val="3"/>
                <c:pt idx="0">
                  <c:v>96.04</c:v>
                </c:pt>
                <c:pt idx="1">
                  <c:v>99.27</c:v>
                </c:pt>
                <c:pt idx="2">
                  <c:v>97.6</c:v>
                </c:pt>
              </c:numCache>
            </c:numRef>
          </c:val>
          <c:extLst>
            <c:ext xmlns:c16="http://schemas.microsoft.com/office/drawing/2014/chart" uri="{C3380CC4-5D6E-409C-BE32-E72D297353CC}">
              <c16:uniqueId val="{00000001-A25F-4E37-A54A-D5DF2EDF70D5}"/>
            </c:ext>
          </c:extLst>
        </c:ser>
        <c:dLbls>
          <c:showLegendKey val="0"/>
          <c:showVal val="0"/>
          <c:showCatName val="0"/>
          <c:showSerName val="0"/>
          <c:showPercent val="0"/>
          <c:showBubbleSize val="0"/>
        </c:dLbls>
        <c:gapWidth val="150"/>
        <c:axId val="44488192"/>
        <c:axId val="44506496"/>
      </c:barChart>
      <c:catAx>
        <c:axId val="44488192"/>
        <c:scaling>
          <c:orientation val="minMax"/>
        </c:scaling>
        <c:delete val="0"/>
        <c:axPos val="b"/>
        <c:numFmt formatCode="General" sourceLinked="0"/>
        <c:majorTickMark val="out"/>
        <c:minorTickMark val="none"/>
        <c:tickLblPos val="nextTo"/>
        <c:crossAx val="44506496"/>
        <c:crosses val="autoZero"/>
        <c:auto val="1"/>
        <c:lblAlgn val="ctr"/>
        <c:lblOffset val="100"/>
        <c:noMultiLvlLbl val="0"/>
      </c:catAx>
      <c:valAx>
        <c:axId val="44506496"/>
        <c:scaling>
          <c:orientation val="minMax"/>
        </c:scaling>
        <c:delete val="0"/>
        <c:axPos val="l"/>
        <c:majorGridlines/>
        <c:numFmt formatCode="General" sourceLinked="1"/>
        <c:majorTickMark val="out"/>
        <c:minorTickMark val="none"/>
        <c:tickLblPos val="nextTo"/>
        <c:crossAx val="4448819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0.29304922310845388"/>
          <c:y val="2.1960698277873211E-2"/>
          <c:w val="0.41390171582300156"/>
          <c:h val="1"/>
        </c:manualLayout>
      </c:layout>
      <c:doughnutChart>
        <c:varyColors val="1"/>
        <c:ser>
          <c:idx val="0"/>
          <c:order val="0"/>
          <c:tx>
            <c:strRef>
              <c:f>Lapas1!$B$1</c:f>
              <c:strCache>
                <c:ptCount val="1"/>
                <c:pt idx="0">
                  <c:v>Pardavimas</c:v>
                </c:pt>
              </c:strCache>
            </c:strRef>
          </c:tx>
          <c:explosion val="25"/>
          <c:dLbls>
            <c:dLbl>
              <c:idx val="0"/>
              <c:layout>
                <c:manualLayout>
                  <c:x val="-0.17729003937234941"/>
                  <c:y val="-4.8975290427365273E-2"/>
                </c:manualLayout>
              </c:layout>
              <c:tx>
                <c:rich>
                  <a:bodyPr/>
                  <a:lstStyle/>
                  <a:p>
                    <a:r>
                      <a:rPr lang="en-US"/>
                      <a:t>Nutukimas; 6,7</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3B-477D-BCF6-727CC24141E8}"/>
                </c:ext>
              </c:extLst>
            </c:dLbl>
            <c:dLbl>
              <c:idx val="1"/>
              <c:layout>
                <c:manualLayout>
                  <c:x val="0.23921013917812156"/>
                  <c:y val="-9.8698191105545702E-2"/>
                </c:manualLayout>
              </c:layout>
              <c:tx>
                <c:rich>
                  <a:bodyPr/>
                  <a:lstStyle/>
                  <a:p>
                    <a:r>
                      <a:rPr lang="en-US"/>
                      <a:t>Per mažas;  11,8</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3B-477D-BCF6-727CC24141E8}"/>
                </c:ext>
              </c:extLst>
            </c:dLbl>
            <c:dLbl>
              <c:idx val="2"/>
              <c:layout>
                <c:manualLayout>
                  <c:x val="0.23708350148045521"/>
                  <c:y val="1.5541118563794835E-2"/>
                </c:manualLayout>
              </c:layout>
              <c:tx>
                <c:rich>
                  <a:bodyPr/>
                  <a:lstStyle/>
                  <a:p>
                    <a:r>
                      <a:rPr lang="en-US"/>
                      <a:t>Antsvoris</a:t>
                    </a:r>
                    <a:r>
                      <a:rPr lang="en-US" baseline="0"/>
                      <a:t> ; </a:t>
                    </a:r>
                    <a:r>
                      <a:rPr lang="en-US"/>
                      <a:t>15,7</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3B-477D-BCF6-727CC24141E8}"/>
                </c:ext>
              </c:extLst>
            </c:dLbl>
            <c:dLbl>
              <c:idx val="3"/>
              <c:layout>
                <c:manualLayout>
                  <c:x val="-0.20281757202054015"/>
                  <c:y val="-0.19047633807357081"/>
                </c:manualLayout>
              </c:layout>
              <c:tx>
                <c:rich>
                  <a:bodyPr/>
                  <a:lstStyle/>
                  <a:p>
                    <a:r>
                      <a:rPr lang="en-US"/>
                      <a:t>Normalus svoris;  65,8</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3B-477D-BCF6-727CC24141E8}"/>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Lapas1!$A$2:$A$5</c:f>
              <c:strCache>
                <c:ptCount val="4"/>
                <c:pt idx="0">
                  <c:v>Nutukimas</c:v>
                </c:pt>
                <c:pt idx="1">
                  <c:v>Per mažas </c:v>
                </c:pt>
                <c:pt idx="2">
                  <c:v>Antsvoris</c:v>
                </c:pt>
                <c:pt idx="3">
                  <c:v>Normalus svoris</c:v>
                </c:pt>
              </c:strCache>
            </c:strRef>
          </c:cat>
          <c:val>
            <c:numRef>
              <c:f>Lapas1!$B$2:$B$5</c:f>
              <c:numCache>
                <c:formatCode>General</c:formatCode>
                <c:ptCount val="4"/>
                <c:pt idx="0">
                  <c:v>6.7</c:v>
                </c:pt>
                <c:pt idx="1">
                  <c:v>11.8</c:v>
                </c:pt>
                <c:pt idx="2">
                  <c:v>15.7</c:v>
                </c:pt>
                <c:pt idx="3">
                  <c:v>65.8</c:v>
                </c:pt>
              </c:numCache>
            </c:numRef>
          </c:val>
          <c:extLst>
            <c:ext xmlns:c16="http://schemas.microsoft.com/office/drawing/2014/chart" uri="{C3380CC4-5D6E-409C-BE32-E72D297353CC}">
              <c16:uniqueId val="{00000004-DC3B-477D-BCF6-727CC24141E8}"/>
            </c:ext>
          </c:extLst>
        </c:ser>
        <c:dLbls>
          <c:showLegendKey val="0"/>
          <c:showVal val="1"/>
          <c:showCatName val="1"/>
          <c:showSerName val="0"/>
          <c:showPercent val="0"/>
          <c:showBubbleSize val="0"/>
          <c:showLeaderLines val="1"/>
        </c:dLbls>
        <c:firstSliceAng val="0"/>
        <c:holeSize val="50"/>
      </c:doughnutChart>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plotArea>
      <c:layout/>
      <c:barChart>
        <c:barDir val="col"/>
        <c:grouping val="clustered"/>
        <c:varyColors val="0"/>
        <c:ser>
          <c:idx val="0"/>
          <c:order val="0"/>
          <c:tx>
            <c:strRef>
              <c:f>Lapas1!$B$1</c:f>
              <c:strCache>
                <c:ptCount val="1"/>
                <c:pt idx="0">
                  <c:v>2016 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4"/>
                <c:pt idx="0">
                  <c:v>Normalus svoris</c:v>
                </c:pt>
                <c:pt idx="1">
                  <c:v>Antsvoris</c:v>
                </c:pt>
                <c:pt idx="2">
                  <c:v>Per mažas</c:v>
                </c:pt>
                <c:pt idx="3">
                  <c:v>Nutukimas</c:v>
                </c:pt>
              </c:strCache>
            </c:strRef>
          </c:cat>
          <c:val>
            <c:numRef>
              <c:f>Lapas1!$B$2:$B$5</c:f>
              <c:numCache>
                <c:formatCode>General</c:formatCode>
                <c:ptCount val="4"/>
                <c:pt idx="0">
                  <c:v>63.790000000000013</c:v>
                </c:pt>
                <c:pt idx="1">
                  <c:v>16.41</c:v>
                </c:pt>
                <c:pt idx="2">
                  <c:v>11.8</c:v>
                </c:pt>
                <c:pt idx="3">
                  <c:v>5.96</c:v>
                </c:pt>
              </c:numCache>
            </c:numRef>
          </c:val>
          <c:extLst>
            <c:ext xmlns:c16="http://schemas.microsoft.com/office/drawing/2014/chart" uri="{C3380CC4-5D6E-409C-BE32-E72D297353CC}">
              <c16:uniqueId val="{00000000-1F6C-45FE-B0DA-9C92705F14E2}"/>
            </c:ext>
          </c:extLst>
        </c:ser>
        <c:ser>
          <c:idx val="1"/>
          <c:order val="1"/>
          <c:tx>
            <c:strRef>
              <c:f>Lapas1!$C$1</c:f>
              <c:strCache>
                <c:ptCount val="1"/>
                <c:pt idx="0">
                  <c:v>2017 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4"/>
                <c:pt idx="0">
                  <c:v>Normalus svoris</c:v>
                </c:pt>
                <c:pt idx="1">
                  <c:v>Antsvoris</c:v>
                </c:pt>
                <c:pt idx="2">
                  <c:v>Per mažas</c:v>
                </c:pt>
                <c:pt idx="3">
                  <c:v>Nutukimas</c:v>
                </c:pt>
              </c:strCache>
            </c:strRef>
          </c:cat>
          <c:val>
            <c:numRef>
              <c:f>Lapas1!$C$2:$C$5</c:f>
              <c:numCache>
                <c:formatCode>General</c:formatCode>
                <c:ptCount val="4"/>
                <c:pt idx="0">
                  <c:v>66.900000000000006</c:v>
                </c:pt>
                <c:pt idx="1">
                  <c:v>16</c:v>
                </c:pt>
                <c:pt idx="2">
                  <c:v>10.6</c:v>
                </c:pt>
                <c:pt idx="3">
                  <c:v>6.5</c:v>
                </c:pt>
              </c:numCache>
            </c:numRef>
          </c:val>
          <c:extLst>
            <c:ext xmlns:c16="http://schemas.microsoft.com/office/drawing/2014/chart" uri="{C3380CC4-5D6E-409C-BE32-E72D297353CC}">
              <c16:uniqueId val="{00000001-1F6C-45FE-B0DA-9C92705F14E2}"/>
            </c:ext>
          </c:extLst>
        </c:ser>
        <c:ser>
          <c:idx val="2"/>
          <c:order val="2"/>
          <c:tx>
            <c:strRef>
              <c:f>Lapas1!$D$1</c:f>
              <c:strCache>
                <c:ptCount val="1"/>
                <c:pt idx="0">
                  <c:v>2018 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4"/>
                <c:pt idx="0">
                  <c:v>Normalus svoris</c:v>
                </c:pt>
                <c:pt idx="1">
                  <c:v>Antsvoris</c:v>
                </c:pt>
                <c:pt idx="2">
                  <c:v>Per mažas</c:v>
                </c:pt>
                <c:pt idx="3">
                  <c:v>Nutukimas</c:v>
                </c:pt>
              </c:strCache>
            </c:strRef>
          </c:cat>
          <c:val>
            <c:numRef>
              <c:f>Lapas1!$D$2:$D$5</c:f>
              <c:numCache>
                <c:formatCode>General</c:formatCode>
                <c:ptCount val="4"/>
                <c:pt idx="0">
                  <c:v>65.8</c:v>
                </c:pt>
                <c:pt idx="1">
                  <c:v>15.7</c:v>
                </c:pt>
                <c:pt idx="2">
                  <c:v>11.8</c:v>
                </c:pt>
                <c:pt idx="3">
                  <c:v>6.7</c:v>
                </c:pt>
              </c:numCache>
            </c:numRef>
          </c:val>
          <c:extLst>
            <c:ext xmlns:c16="http://schemas.microsoft.com/office/drawing/2014/chart" uri="{C3380CC4-5D6E-409C-BE32-E72D297353CC}">
              <c16:uniqueId val="{00000002-1F6C-45FE-B0DA-9C92705F14E2}"/>
            </c:ext>
          </c:extLst>
        </c:ser>
        <c:dLbls>
          <c:showLegendKey val="0"/>
          <c:showVal val="0"/>
          <c:showCatName val="0"/>
          <c:showSerName val="0"/>
          <c:showPercent val="0"/>
          <c:showBubbleSize val="0"/>
        </c:dLbls>
        <c:gapWidth val="150"/>
        <c:axId val="46626304"/>
        <c:axId val="46628224"/>
      </c:barChart>
      <c:catAx>
        <c:axId val="46626304"/>
        <c:scaling>
          <c:orientation val="minMax"/>
        </c:scaling>
        <c:delete val="0"/>
        <c:axPos val="b"/>
        <c:numFmt formatCode="General" sourceLinked="0"/>
        <c:majorTickMark val="out"/>
        <c:minorTickMark val="none"/>
        <c:tickLblPos val="nextTo"/>
        <c:crossAx val="46628224"/>
        <c:crosses val="autoZero"/>
        <c:auto val="1"/>
        <c:lblAlgn val="ctr"/>
        <c:lblOffset val="100"/>
        <c:noMultiLvlLbl val="0"/>
      </c:catAx>
      <c:valAx>
        <c:axId val="46628224"/>
        <c:scaling>
          <c:orientation val="minMax"/>
        </c:scaling>
        <c:delete val="0"/>
        <c:axPos val="l"/>
        <c:majorGridlines/>
        <c:numFmt formatCode="General" sourceLinked="1"/>
        <c:majorTickMark val="out"/>
        <c:minorTickMark val="none"/>
        <c:tickLblPos val="nextTo"/>
        <c:crossAx val="4662630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0.30424730115998938"/>
          <c:y val="3.8561348928584392E-2"/>
          <c:w val="0.40934130588003736"/>
          <c:h val="0.96143865107141568"/>
        </c:manualLayout>
      </c:layout>
      <c:doughnutChart>
        <c:varyColors val="1"/>
        <c:ser>
          <c:idx val="0"/>
          <c:order val="0"/>
          <c:tx>
            <c:strRef>
              <c:f>Lapas1!$B$1</c:f>
              <c:strCache>
                <c:ptCount val="1"/>
                <c:pt idx="0">
                  <c:v>Pardavimas</c:v>
                </c:pt>
              </c:strCache>
            </c:strRef>
          </c:tx>
          <c:explosion val="25"/>
          <c:dLbls>
            <c:dLbl>
              <c:idx val="0"/>
              <c:layout>
                <c:manualLayout>
                  <c:x val="-0.35669749899233005"/>
                  <c:y val="-0.29781268451660536"/>
                </c:manualLayout>
              </c:layout>
              <c:tx>
                <c:rich>
                  <a:bodyPr/>
                  <a:lstStyle/>
                  <a:p>
                    <a:r>
                      <a:rPr lang="lt-LT"/>
                      <a:t>Pagrindinė;</a:t>
                    </a:r>
                    <a:r>
                      <a:rPr lang="lt-LT" baseline="0"/>
                      <a:t>  </a:t>
                    </a:r>
                    <a:r>
                      <a:rPr lang="lt-LT"/>
                      <a:t>94,6</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75-492F-8BA6-2AC46C32010F}"/>
                </c:ext>
              </c:extLst>
            </c:dLbl>
            <c:dLbl>
              <c:idx val="1"/>
              <c:layout>
                <c:manualLayout>
                  <c:x val="-0.16133753561955136"/>
                  <c:y val="-1.1969281357750099E-2"/>
                </c:manualLayout>
              </c:layout>
              <c:tx>
                <c:rich>
                  <a:bodyPr/>
                  <a:lstStyle/>
                  <a:p>
                    <a:r>
                      <a:rPr lang="en-US"/>
                      <a:t>Parengiamoji ; 3,4</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75-492F-8BA6-2AC46C32010F}"/>
                </c:ext>
              </c:extLst>
            </c:dLbl>
            <c:dLbl>
              <c:idx val="2"/>
              <c:layout>
                <c:manualLayout>
                  <c:x val="0.16157720382220406"/>
                  <c:y val="1.587280604304506E-2"/>
                </c:manualLayout>
              </c:layout>
              <c:tx>
                <c:rich>
                  <a:bodyPr/>
                  <a:lstStyle/>
                  <a:p>
                    <a:r>
                      <a:rPr lang="en-US"/>
                      <a:t>Specialioji ; 2,0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75-492F-8BA6-2AC46C32010F}"/>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Lapas1!$A$2:$A$4</c:f>
              <c:strCache>
                <c:ptCount val="3"/>
                <c:pt idx="0">
                  <c:v>Pagrindinė</c:v>
                </c:pt>
                <c:pt idx="1">
                  <c:v>Parengiamoji</c:v>
                </c:pt>
                <c:pt idx="2">
                  <c:v>Specialioji</c:v>
                </c:pt>
              </c:strCache>
            </c:strRef>
          </c:cat>
          <c:val>
            <c:numRef>
              <c:f>Lapas1!$B$2:$B$4</c:f>
              <c:numCache>
                <c:formatCode>General</c:formatCode>
                <c:ptCount val="3"/>
                <c:pt idx="0">
                  <c:v>94.6</c:v>
                </c:pt>
                <c:pt idx="1">
                  <c:v>3.4</c:v>
                </c:pt>
                <c:pt idx="2">
                  <c:v>2</c:v>
                </c:pt>
              </c:numCache>
            </c:numRef>
          </c:val>
          <c:extLst>
            <c:ext xmlns:c16="http://schemas.microsoft.com/office/drawing/2014/chart" uri="{C3380CC4-5D6E-409C-BE32-E72D297353CC}">
              <c16:uniqueId val="{00000003-0675-492F-8BA6-2AC46C32010F}"/>
            </c:ext>
          </c:extLst>
        </c:ser>
        <c:dLbls>
          <c:showLegendKey val="0"/>
          <c:showVal val="1"/>
          <c:showCatName val="1"/>
          <c:showSerName val="0"/>
          <c:showPercent val="0"/>
          <c:showBubbleSize val="0"/>
          <c:showLeaderLines val="1"/>
        </c:dLbls>
        <c:firstSliceAng val="0"/>
        <c:holeSize val="50"/>
      </c:doughnutChart>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plotArea>
      <c:layout/>
      <c:barChart>
        <c:barDir val="col"/>
        <c:grouping val="stacked"/>
        <c:varyColors val="0"/>
        <c:ser>
          <c:idx val="0"/>
          <c:order val="0"/>
          <c:tx>
            <c:strRef>
              <c:f>Lapas1!$B$1</c:f>
              <c:strCache>
                <c:ptCount val="1"/>
                <c:pt idx="0">
                  <c:v>Pagrindinė</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2016 m.</c:v>
                </c:pt>
                <c:pt idx="1">
                  <c:v>2017 m.</c:v>
                </c:pt>
                <c:pt idx="2">
                  <c:v>2018 m.</c:v>
                </c:pt>
              </c:strCache>
            </c:strRef>
          </c:cat>
          <c:val>
            <c:numRef>
              <c:f>Lapas1!$B$2:$B$4</c:f>
              <c:numCache>
                <c:formatCode>General</c:formatCode>
                <c:ptCount val="3"/>
                <c:pt idx="0">
                  <c:v>93.240000000000023</c:v>
                </c:pt>
                <c:pt idx="1">
                  <c:v>94.1</c:v>
                </c:pt>
                <c:pt idx="2">
                  <c:v>94.6</c:v>
                </c:pt>
              </c:numCache>
            </c:numRef>
          </c:val>
          <c:extLst>
            <c:ext xmlns:c16="http://schemas.microsoft.com/office/drawing/2014/chart" uri="{C3380CC4-5D6E-409C-BE32-E72D297353CC}">
              <c16:uniqueId val="{00000000-3BCE-4140-9D7E-E4BF95982D44}"/>
            </c:ext>
          </c:extLst>
        </c:ser>
        <c:ser>
          <c:idx val="1"/>
          <c:order val="1"/>
          <c:tx>
            <c:strRef>
              <c:f>Lapas1!$C$1</c:f>
              <c:strCache>
                <c:ptCount val="1"/>
                <c:pt idx="0">
                  <c:v>Parengiamoji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2016 m.</c:v>
                </c:pt>
                <c:pt idx="1">
                  <c:v>2017 m.</c:v>
                </c:pt>
                <c:pt idx="2">
                  <c:v>2018 m.</c:v>
                </c:pt>
              </c:strCache>
            </c:strRef>
          </c:cat>
          <c:val>
            <c:numRef>
              <c:f>Lapas1!$C$2:$C$4</c:f>
              <c:numCache>
                <c:formatCode>General</c:formatCode>
                <c:ptCount val="3"/>
                <c:pt idx="0">
                  <c:v>3.74</c:v>
                </c:pt>
                <c:pt idx="1">
                  <c:v>3.5</c:v>
                </c:pt>
                <c:pt idx="2">
                  <c:v>3.4</c:v>
                </c:pt>
              </c:numCache>
            </c:numRef>
          </c:val>
          <c:extLst>
            <c:ext xmlns:c16="http://schemas.microsoft.com/office/drawing/2014/chart" uri="{C3380CC4-5D6E-409C-BE32-E72D297353CC}">
              <c16:uniqueId val="{00000001-3BCE-4140-9D7E-E4BF95982D44}"/>
            </c:ext>
          </c:extLst>
        </c:ser>
        <c:ser>
          <c:idx val="2"/>
          <c:order val="2"/>
          <c:tx>
            <c:strRef>
              <c:f>Lapas1!$D$1</c:f>
              <c:strCache>
                <c:ptCount val="1"/>
                <c:pt idx="0">
                  <c:v>Specialioji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2016 m.</c:v>
                </c:pt>
                <c:pt idx="1">
                  <c:v>2017 m.</c:v>
                </c:pt>
                <c:pt idx="2">
                  <c:v>2018 m.</c:v>
                </c:pt>
              </c:strCache>
            </c:strRef>
          </c:cat>
          <c:val>
            <c:numRef>
              <c:f>Lapas1!$D$2:$D$4</c:f>
              <c:numCache>
                <c:formatCode>General</c:formatCode>
                <c:ptCount val="3"/>
                <c:pt idx="0">
                  <c:v>1.08</c:v>
                </c:pt>
                <c:pt idx="1">
                  <c:v>1.6</c:v>
                </c:pt>
                <c:pt idx="2">
                  <c:v>2</c:v>
                </c:pt>
              </c:numCache>
            </c:numRef>
          </c:val>
          <c:extLst>
            <c:ext xmlns:c16="http://schemas.microsoft.com/office/drawing/2014/chart" uri="{C3380CC4-5D6E-409C-BE32-E72D297353CC}">
              <c16:uniqueId val="{00000002-3BCE-4140-9D7E-E4BF95982D44}"/>
            </c:ext>
          </c:extLst>
        </c:ser>
        <c:dLbls>
          <c:showLegendKey val="0"/>
          <c:showVal val="0"/>
          <c:showCatName val="0"/>
          <c:showSerName val="0"/>
          <c:showPercent val="0"/>
          <c:showBubbleSize val="0"/>
        </c:dLbls>
        <c:gapWidth val="150"/>
        <c:overlap val="100"/>
        <c:axId val="78442496"/>
        <c:axId val="78599680"/>
      </c:barChart>
      <c:catAx>
        <c:axId val="78442496"/>
        <c:scaling>
          <c:orientation val="minMax"/>
        </c:scaling>
        <c:delete val="0"/>
        <c:axPos val="b"/>
        <c:numFmt formatCode="General" sourceLinked="0"/>
        <c:majorTickMark val="out"/>
        <c:minorTickMark val="none"/>
        <c:tickLblPos val="nextTo"/>
        <c:crossAx val="78599680"/>
        <c:crosses val="autoZero"/>
        <c:auto val="1"/>
        <c:lblAlgn val="ctr"/>
        <c:lblOffset val="100"/>
        <c:noMultiLvlLbl val="0"/>
      </c:catAx>
      <c:valAx>
        <c:axId val="78599680"/>
        <c:scaling>
          <c:orientation val="minMax"/>
        </c:scaling>
        <c:delete val="0"/>
        <c:axPos val="l"/>
        <c:majorGridlines/>
        <c:numFmt formatCode="General" sourceLinked="1"/>
        <c:majorTickMark val="out"/>
        <c:minorTickMark val="none"/>
        <c:tickLblPos val="nextTo"/>
        <c:crossAx val="7844249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6.5651597385500068E-2"/>
          <c:y val="4.8827539281529178E-2"/>
          <c:w val="0.91060525150234495"/>
          <c:h val="0.6850814451540117"/>
        </c:manualLayout>
      </c:layout>
      <c:barChart>
        <c:barDir val="col"/>
        <c:grouping val="clustered"/>
        <c:varyColors val="0"/>
        <c:ser>
          <c:idx val="0"/>
          <c:order val="0"/>
          <c:tx>
            <c:strRef>
              <c:f>Lapas1!$B$1</c:f>
              <c:strCache>
                <c:ptCount val="1"/>
                <c:pt idx="0">
                  <c:v>1 seka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2016 m.</c:v>
                </c:pt>
                <c:pt idx="1">
                  <c:v>2017 m.</c:v>
                </c:pt>
                <c:pt idx="2">
                  <c:v>2018 m.</c:v>
                </c:pt>
              </c:strCache>
            </c:strRef>
          </c:cat>
          <c:val>
            <c:numRef>
              <c:f>Lapas1!$B$2:$B$4</c:f>
              <c:numCache>
                <c:formatCode>General</c:formatCode>
                <c:ptCount val="3"/>
                <c:pt idx="0">
                  <c:v>18.86</c:v>
                </c:pt>
                <c:pt idx="1">
                  <c:v>15.2</c:v>
                </c:pt>
                <c:pt idx="2">
                  <c:v>20.73</c:v>
                </c:pt>
              </c:numCache>
            </c:numRef>
          </c:val>
          <c:extLst>
            <c:ext xmlns:c16="http://schemas.microsoft.com/office/drawing/2014/chart" uri="{C3380CC4-5D6E-409C-BE32-E72D297353CC}">
              <c16:uniqueId val="{00000000-039B-405E-AFE2-8FF73094FF10}"/>
            </c:ext>
          </c:extLst>
        </c:ser>
        <c:dLbls>
          <c:showLegendKey val="0"/>
          <c:showVal val="0"/>
          <c:showCatName val="0"/>
          <c:showSerName val="0"/>
          <c:showPercent val="0"/>
          <c:showBubbleSize val="0"/>
        </c:dLbls>
        <c:gapWidth val="150"/>
        <c:axId val="86266240"/>
        <c:axId val="86267776"/>
      </c:barChart>
      <c:catAx>
        <c:axId val="86266240"/>
        <c:scaling>
          <c:orientation val="minMax"/>
        </c:scaling>
        <c:delete val="0"/>
        <c:axPos val="b"/>
        <c:numFmt formatCode="General" sourceLinked="0"/>
        <c:majorTickMark val="out"/>
        <c:minorTickMark val="none"/>
        <c:tickLblPos val="nextTo"/>
        <c:crossAx val="86267776"/>
        <c:crosses val="autoZero"/>
        <c:auto val="1"/>
        <c:lblAlgn val="ctr"/>
        <c:lblOffset val="100"/>
        <c:noMultiLvlLbl val="0"/>
      </c:catAx>
      <c:valAx>
        <c:axId val="86267776"/>
        <c:scaling>
          <c:orientation val="minMax"/>
        </c:scaling>
        <c:delete val="0"/>
        <c:axPos val="l"/>
        <c:majorGridlines/>
        <c:numFmt formatCode="General" sourceLinked="1"/>
        <c:majorTickMark val="out"/>
        <c:minorTickMark val="none"/>
        <c:tickLblPos val="nextTo"/>
        <c:crossAx val="86266240"/>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0.21730333187518325"/>
          <c:y val="1.488095238095238E-2"/>
          <c:w val="0.57465277777777779"/>
          <c:h val="0.98511904761904767"/>
        </c:manualLayout>
      </c:layout>
      <c:doughnutChart>
        <c:varyColors val="1"/>
        <c:ser>
          <c:idx val="0"/>
          <c:order val="0"/>
          <c:tx>
            <c:strRef>
              <c:f>Lapas1!$B$1</c:f>
              <c:strCache>
                <c:ptCount val="1"/>
                <c:pt idx="0">
                  <c:v>Pardavimas</c:v>
                </c:pt>
              </c:strCache>
            </c:strRef>
          </c:tx>
          <c:explosion val="25"/>
          <c:dLbls>
            <c:dLbl>
              <c:idx val="0"/>
              <c:layout>
                <c:manualLayout>
                  <c:x val="-0.48852792684081897"/>
                  <c:y val="-0.11718803226728201"/>
                </c:manualLayout>
              </c:layout>
              <c:tx>
                <c:rich>
                  <a:bodyPr/>
                  <a:lstStyle/>
                  <a:p>
                    <a:r>
                      <a:rPr lang="lt-LT"/>
                      <a:t>Žandikaulių; 14,1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05-4C5F-9399-570103F1A28C}"/>
                </c:ext>
              </c:extLst>
            </c:dLbl>
            <c:dLbl>
              <c:idx val="1"/>
              <c:layout>
                <c:manualLayout>
                  <c:x val="-0.21914552559221032"/>
                  <c:y val="2.3825236854173927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05-4C5F-9399-570103F1A28C}"/>
                </c:ext>
              </c:extLst>
            </c:dLbl>
            <c:dLbl>
              <c:idx val="2"/>
              <c:layout>
                <c:manualLayout>
                  <c:x val="0.42659584722606941"/>
                  <c:y val="-0.48724338043808729"/>
                </c:manualLayout>
              </c:layout>
              <c:tx>
                <c:rich>
                  <a:bodyPr/>
                  <a:lstStyle/>
                  <a:p>
                    <a:r>
                      <a:rPr lang="lt-LT"/>
                      <a:t>Nėra; 60,3</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05-4C5F-9399-570103F1A28C}"/>
                </c:ext>
              </c:extLst>
            </c:dLbl>
            <c:dLbl>
              <c:idx val="3"/>
              <c:layout>
                <c:manualLayout>
                  <c:x val="-0.18752458376393216"/>
                  <c:y val="-7.192262441644446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05-4C5F-9399-570103F1A28C}"/>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Lapas1!$A$2:$A$5</c:f>
              <c:strCache>
                <c:ptCount val="4"/>
                <c:pt idx="0">
                  <c:v>Nėra</c:v>
                </c:pt>
                <c:pt idx="1">
                  <c:v>Pavienių dantų ir žandikaulių</c:v>
                </c:pt>
                <c:pt idx="2">
                  <c:v>Žandikaulių</c:v>
                </c:pt>
                <c:pt idx="3">
                  <c:v>Pavienių dantų</c:v>
                </c:pt>
              </c:strCache>
            </c:strRef>
          </c:cat>
          <c:val>
            <c:numRef>
              <c:f>Lapas1!$B$2:$B$5</c:f>
              <c:numCache>
                <c:formatCode>General</c:formatCode>
                <c:ptCount val="4"/>
                <c:pt idx="0">
                  <c:v>60.3</c:v>
                </c:pt>
                <c:pt idx="1">
                  <c:v>0.30000000000000027</c:v>
                </c:pt>
                <c:pt idx="2">
                  <c:v>14.1</c:v>
                </c:pt>
                <c:pt idx="3">
                  <c:v>25.3</c:v>
                </c:pt>
              </c:numCache>
            </c:numRef>
          </c:val>
          <c:extLst>
            <c:ext xmlns:c16="http://schemas.microsoft.com/office/drawing/2014/chart" uri="{C3380CC4-5D6E-409C-BE32-E72D297353CC}">
              <c16:uniqueId val="{00000004-F905-4C5F-9399-570103F1A28C}"/>
            </c:ext>
          </c:extLst>
        </c:ser>
        <c:dLbls>
          <c:showLegendKey val="0"/>
          <c:showVal val="1"/>
          <c:showCatName val="1"/>
          <c:showSerName val="0"/>
          <c:showPercent val="0"/>
          <c:showBubbleSize val="0"/>
          <c:showLeaderLines val="1"/>
        </c:dLbls>
        <c:firstSliceAng val="0"/>
        <c:holeSize val="50"/>
      </c:doughnutChart>
    </c:plotArea>
    <c:plotVisOnly val="1"/>
    <c:dispBlanksAs val="gap"/>
    <c:showDLblsOverMax val="0"/>
  </c:chart>
  <c:spPr>
    <a:ln>
      <a:noFill/>
    </a:ln>
  </c:sp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02B03B-4343-4D1B-B1E2-7DB6803FF2E8}" type="doc">
      <dgm:prSet loTypeId="urn:microsoft.com/office/officeart/2005/8/layout/process1" loCatId="process" qsTypeId="urn:microsoft.com/office/officeart/2005/8/quickstyle/simple1" qsCatId="simple" csTypeId="urn:microsoft.com/office/officeart/2005/8/colors/accent3_2" csCatId="accent3" phldr="1"/>
      <dgm:spPr/>
      <dgm:t>
        <a:bodyPr/>
        <a:lstStyle/>
        <a:p>
          <a:endParaRPr lang="lt-LT"/>
        </a:p>
      </dgm:t>
    </dgm:pt>
    <dgm:pt modelId="{FBF302AC-E1AB-4333-A2C8-DA92F8F0C093}">
      <dgm:prSet phldrT="[Tekstas]" custT="1"/>
      <dgm:spPr/>
      <dgm:t>
        <a:bodyPr/>
        <a:lstStyle/>
        <a:p>
          <a:r>
            <a:rPr lang="lt-LT" sz="1200">
              <a:latin typeface="Times New Roman" pitchFamily="18" charset="0"/>
              <a:cs typeface="Times New Roman" pitchFamily="18" charset="0"/>
            </a:rPr>
            <a:t>2018 m. mokėsi 3432 vaikai, profilaktiškai pasitikrinę sveikatą</a:t>
          </a:r>
        </a:p>
      </dgm:t>
    </dgm:pt>
    <dgm:pt modelId="{46B2131A-8729-4AFC-90CF-DC1F2CFA85B7}" type="parTrans" cxnId="{0DD7C40C-85F9-4051-A344-4E4D4DCFEAD1}">
      <dgm:prSet/>
      <dgm:spPr/>
      <dgm:t>
        <a:bodyPr/>
        <a:lstStyle/>
        <a:p>
          <a:endParaRPr lang="lt-LT"/>
        </a:p>
      </dgm:t>
    </dgm:pt>
    <dgm:pt modelId="{85FCAB22-93CD-4041-9A05-7AEB03C50ABB}" type="sibTrans" cxnId="{0DD7C40C-85F9-4051-A344-4E4D4DCFEAD1}">
      <dgm:prSet/>
      <dgm:spPr/>
      <dgm:t>
        <a:bodyPr/>
        <a:lstStyle/>
        <a:p>
          <a:endParaRPr lang="lt-LT"/>
        </a:p>
      </dgm:t>
    </dgm:pt>
    <dgm:pt modelId="{F5F454BE-F5BD-4A3C-BB11-5D30623C4FBE}">
      <dgm:prSet phldrT="[Tekstas]" custT="1"/>
      <dgm:spPr/>
      <dgm:t>
        <a:bodyPr/>
        <a:lstStyle/>
        <a:p>
          <a:r>
            <a:rPr lang="lt-LT" sz="1200">
              <a:latin typeface="Times New Roman" pitchFamily="18" charset="0"/>
              <a:cs typeface="Times New Roman" pitchFamily="18" charset="0"/>
            </a:rPr>
            <a:t>2974 vaikai galėjo dalyvauti ugdymo veikloje be apribojimų</a:t>
          </a:r>
        </a:p>
      </dgm:t>
    </dgm:pt>
    <dgm:pt modelId="{592C44D7-2098-4F80-B450-1239C3EB4888}" type="parTrans" cxnId="{938349A6-22C0-4A8C-AA84-391E083C5838}">
      <dgm:prSet/>
      <dgm:spPr/>
      <dgm:t>
        <a:bodyPr/>
        <a:lstStyle/>
        <a:p>
          <a:endParaRPr lang="lt-LT"/>
        </a:p>
      </dgm:t>
    </dgm:pt>
    <dgm:pt modelId="{EEACD32C-5FCC-4091-9D85-5C7A118C0257}" type="sibTrans" cxnId="{938349A6-22C0-4A8C-AA84-391E083C5838}">
      <dgm:prSet/>
      <dgm:spPr/>
      <dgm:t>
        <a:bodyPr/>
        <a:lstStyle/>
        <a:p>
          <a:endParaRPr lang="lt-LT"/>
        </a:p>
      </dgm:t>
    </dgm:pt>
    <dgm:pt modelId="{5B1D139E-F2F8-4DEA-9046-67202D7E6435}">
      <dgm:prSet phldrT="[Tekstas]" custT="1"/>
      <dgm:spPr/>
      <dgm:t>
        <a:bodyPr/>
        <a:lstStyle/>
        <a:p>
          <a:r>
            <a:rPr lang="lt-LT" sz="1200">
              <a:latin typeface="Times New Roman" pitchFamily="18" charset="0"/>
              <a:cs typeface="Times New Roman" pitchFamily="18" charset="0"/>
            </a:rPr>
            <a:t>Tai sudarė 87 proc. ugdymo įstaigą lankiusių 7-17 m. amžiaus vaikų</a:t>
          </a:r>
        </a:p>
      </dgm:t>
    </dgm:pt>
    <dgm:pt modelId="{62991D4C-5FEE-47E7-9D6B-94C127188C68}" type="parTrans" cxnId="{E9FC6644-89E7-4225-8A98-3A2CDBB201FF}">
      <dgm:prSet/>
      <dgm:spPr/>
      <dgm:t>
        <a:bodyPr/>
        <a:lstStyle/>
        <a:p>
          <a:endParaRPr lang="lt-LT"/>
        </a:p>
      </dgm:t>
    </dgm:pt>
    <dgm:pt modelId="{EB60102B-A88D-4FE9-9E8C-18486531F40D}" type="sibTrans" cxnId="{E9FC6644-89E7-4225-8A98-3A2CDBB201FF}">
      <dgm:prSet/>
      <dgm:spPr/>
      <dgm:t>
        <a:bodyPr/>
        <a:lstStyle/>
        <a:p>
          <a:endParaRPr lang="lt-LT"/>
        </a:p>
      </dgm:t>
    </dgm:pt>
    <dgm:pt modelId="{4DE500C0-E435-49FC-A86C-BB2E8B7320D3}">
      <dgm:prSet phldrT="[Tekstas]" custT="1"/>
      <dgm:spPr/>
      <dgm:t>
        <a:bodyPr/>
        <a:lstStyle/>
        <a:p>
          <a:r>
            <a:rPr lang="lt-LT" sz="1200">
              <a:latin typeface="Times New Roman" pitchFamily="18" charset="0"/>
              <a:cs typeface="Times New Roman" pitchFamily="18" charset="0"/>
            </a:rPr>
            <a:t>Sveikų vaikų dalis sumažėjo 3 proc. palyginus su 2017 m.</a:t>
          </a:r>
        </a:p>
      </dgm:t>
    </dgm:pt>
    <dgm:pt modelId="{A5657207-8AD1-4CB2-B34F-C27D2640DDC1}" type="parTrans" cxnId="{25D6AAAC-76DA-47D8-B035-DA38E12C5473}">
      <dgm:prSet/>
      <dgm:spPr/>
      <dgm:t>
        <a:bodyPr/>
        <a:lstStyle/>
        <a:p>
          <a:endParaRPr lang="lt-LT"/>
        </a:p>
      </dgm:t>
    </dgm:pt>
    <dgm:pt modelId="{D9749F3E-85F4-42F2-A122-C3DBEC7BCA28}" type="sibTrans" cxnId="{25D6AAAC-76DA-47D8-B035-DA38E12C5473}">
      <dgm:prSet/>
      <dgm:spPr/>
      <dgm:t>
        <a:bodyPr/>
        <a:lstStyle/>
        <a:p>
          <a:endParaRPr lang="lt-LT"/>
        </a:p>
      </dgm:t>
    </dgm:pt>
    <dgm:pt modelId="{24DAC95C-3CCE-4CA1-827F-AE33A982BFB2}" type="pres">
      <dgm:prSet presAssocID="{D602B03B-4343-4D1B-B1E2-7DB6803FF2E8}" presName="Name0" presStyleCnt="0">
        <dgm:presLayoutVars>
          <dgm:dir/>
          <dgm:resizeHandles val="exact"/>
        </dgm:presLayoutVars>
      </dgm:prSet>
      <dgm:spPr/>
    </dgm:pt>
    <dgm:pt modelId="{F487052F-8953-4EFC-91B1-B66354AFBCC7}" type="pres">
      <dgm:prSet presAssocID="{FBF302AC-E1AB-4333-A2C8-DA92F8F0C093}" presName="node" presStyleLbl="node1" presStyleIdx="0" presStyleCnt="4">
        <dgm:presLayoutVars>
          <dgm:bulletEnabled val="1"/>
        </dgm:presLayoutVars>
      </dgm:prSet>
      <dgm:spPr/>
    </dgm:pt>
    <dgm:pt modelId="{B74928CD-5E53-48BC-B48E-A6E364DB01F2}" type="pres">
      <dgm:prSet presAssocID="{85FCAB22-93CD-4041-9A05-7AEB03C50ABB}" presName="sibTrans" presStyleLbl="sibTrans2D1" presStyleIdx="0" presStyleCnt="3"/>
      <dgm:spPr/>
    </dgm:pt>
    <dgm:pt modelId="{96EE4BA4-CFF6-4871-B50D-D9B769D60E17}" type="pres">
      <dgm:prSet presAssocID="{85FCAB22-93CD-4041-9A05-7AEB03C50ABB}" presName="connectorText" presStyleLbl="sibTrans2D1" presStyleIdx="0" presStyleCnt="3"/>
      <dgm:spPr/>
    </dgm:pt>
    <dgm:pt modelId="{1B53A757-B516-4B98-9397-A644A77B1384}" type="pres">
      <dgm:prSet presAssocID="{F5F454BE-F5BD-4A3C-BB11-5D30623C4FBE}" presName="node" presStyleLbl="node1" presStyleIdx="1" presStyleCnt="4">
        <dgm:presLayoutVars>
          <dgm:bulletEnabled val="1"/>
        </dgm:presLayoutVars>
      </dgm:prSet>
      <dgm:spPr/>
    </dgm:pt>
    <dgm:pt modelId="{BA5CFAFB-B19C-44D8-B1D3-B21279DF573A}" type="pres">
      <dgm:prSet presAssocID="{EEACD32C-5FCC-4091-9D85-5C7A118C0257}" presName="sibTrans" presStyleLbl="sibTrans2D1" presStyleIdx="1" presStyleCnt="3"/>
      <dgm:spPr/>
    </dgm:pt>
    <dgm:pt modelId="{722EAE00-4811-47B5-BCA5-2A33C0D8E108}" type="pres">
      <dgm:prSet presAssocID="{EEACD32C-5FCC-4091-9D85-5C7A118C0257}" presName="connectorText" presStyleLbl="sibTrans2D1" presStyleIdx="1" presStyleCnt="3"/>
      <dgm:spPr/>
    </dgm:pt>
    <dgm:pt modelId="{240F12D8-A01C-4AE7-B2DF-34D8E8F4043A}" type="pres">
      <dgm:prSet presAssocID="{5B1D139E-F2F8-4DEA-9046-67202D7E6435}" presName="node" presStyleLbl="node1" presStyleIdx="2" presStyleCnt="4">
        <dgm:presLayoutVars>
          <dgm:bulletEnabled val="1"/>
        </dgm:presLayoutVars>
      </dgm:prSet>
      <dgm:spPr/>
    </dgm:pt>
    <dgm:pt modelId="{DA2D84FB-410A-49D2-8B10-B3F60CA7E95E}" type="pres">
      <dgm:prSet presAssocID="{EB60102B-A88D-4FE9-9E8C-18486531F40D}" presName="sibTrans" presStyleLbl="sibTrans2D1" presStyleIdx="2" presStyleCnt="3"/>
      <dgm:spPr/>
    </dgm:pt>
    <dgm:pt modelId="{2CF69A59-325C-4308-9EC7-3BE64160BCD6}" type="pres">
      <dgm:prSet presAssocID="{EB60102B-A88D-4FE9-9E8C-18486531F40D}" presName="connectorText" presStyleLbl="sibTrans2D1" presStyleIdx="2" presStyleCnt="3"/>
      <dgm:spPr/>
    </dgm:pt>
    <dgm:pt modelId="{A39D1178-FDF9-4326-8659-72140B605DEE}" type="pres">
      <dgm:prSet presAssocID="{4DE500C0-E435-49FC-A86C-BB2E8B7320D3}" presName="node" presStyleLbl="node1" presStyleIdx="3" presStyleCnt="4">
        <dgm:presLayoutVars>
          <dgm:bulletEnabled val="1"/>
        </dgm:presLayoutVars>
      </dgm:prSet>
      <dgm:spPr/>
    </dgm:pt>
  </dgm:ptLst>
  <dgm:cxnLst>
    <dgm:cxn modelId="{DD88D701-6D42-4F6B-AC85-D0759BD246D7}" type="presOf" srcId="{85FCAB22-93CD-4041-9A05-7AEB03C50ABB}" destId="{96EE4BA4-CFF6-4871-B50D-D9B769D60E17}" srcOrd="1" destOrd="0" presId="urn:microsoft.com/office/officeart/2005/8/layout/process1"/>
    <dgm:cxn modelId="{0DD7C40C-85F9-4051-A344-4E4D4DCFEAD1}" srcId="{D602B03B-4343-4D1B-B1E2-7DB6803FF2E8}" destId="{FBF302AC-E1AB-4333-A2C8-DA92F8F0C093}" srcOrd="0" destOrd="0" parTransId="{46B2131A-8729-4AFC-90CF-DC1F2CFA85B7}" sibTransId="{85FCAB22-93CD-4041-9A05-7AEB03C50ABB}"/>
    <dgm:cxn modelId="{FD12FA10-0CB7-4524-A47D-30504EBC6078}" type="presOf" srcId="{5B1D139E-F2F8-4DEA-9046-67202D7E6435}" destId="{240F12D8-A01C-4AE7-B2DF-34D8E8F4043A}" srcOrd="0" destOrd="0" presId="urn:microsoft.com/office/officeart/2005/8/layout/process1"/>
    <dgm:cxn modelId="{02588214-DEB4-4A1D-B270-D58FECB8078D}" type="presOf" srcId="{EB60102B-A88D-4FE9-9E8C-18486531F40D}" destId="{DA2D84FB-410A-49D2-8B10-B3F60CA7E95E}" srcOrd="0" destOrd="0" presId="urn:microsoft.com/office/officeart/2005/8/layout/process1"/>
    <dgm:cxn modelId="{E9FC6644-89E7-4225-8A98-3A2CDBB201FF}" srcId="{D602B03B-4343-4D1B-B1E2-7DB6803FF2E8}" destId="{5B1D139E-F2F8-4DEA-9046-67202D7E6435}" srcOrd="2" destOrd="0" parTransId="{62991D4C-5FEE-47E7-9D6B-94C127188C68}" sibTransId="{EB60102B-A88D-4FE9-9E8C-18486531F40D}"/>
    <dgm:cxn modelId="{01397C46-30EE-4543-BF08-7DCFC493A90D}" type="presOf" srcId="{F5F454BE-F5BD-4A3C-BB11-5D30623C4FBE}" destId="{1B53A757-B516-4B98-9397-A644A77B1384}" srcOrd="0" destOrd="0" presId="urn:microsoft.com/office/officeart/2005/8/layout/process1"/>
    <dgm:cxn modelId="{4B1EE772-0C0A-4EE3-A191-0DC820A64B1C}" type="presOf" srcId="{85FCAB22-93CD-4041-9A05-7AEB03C50ABB}" destId="{B74928CD-5E53-48BC-B48E-A6E364DB01F2}" srcOrd="0" destOrd="0" presId="urn:microsoft.com/office/officeart/2005/8/layout/process1"/>
    <dgm:cxn modelId="{2DDEE095-D751-42D7-9F25-20D05099A7EE}" type="presOf" srcId="{4DE500C0-E435-49FC-A86C-BB2E8B7320D3}" destId="{A39D1178-FDF9-4326-8659-72140B605DEE}" srcOrd="0" destOrd="0" presId="urn:microsoft.com/office/officeart/2005/8/layout/process1"/>
    <dgm:cxn modelId="{938349A6-22C0-4A8C-AA84-391E083C5838}" srcId="{D602B03B-4343-4D1B-B1E2-7DB6803FF2E8}" destId="{F5F454BE-F5BD-4A3C-BB11-5D30623C4FBE}" srcOrd="1" destOrd="0" parTransId="{592C44D7-2098-4F80-B450-1239C3EB4888}" sibTransId="{EEACD32C-5FCC-4091-9D85-5C7A118C0257}"/>
    <dgm:cxn modelId="{11B5BDA7-E0E5-435F-9023-3ED9F95FEC95}" type="presOf" srcId="{D602B03B-4343-4D1B-B1E2-7DB6803FF2E8}" destId="{24DAC95C-3CCE-4CA1-827F-AE33A982BFB2}" srcOrd="0" destOrd="0" presId="urn:microsoft.com/office/officeart/2005/8/layout/process1"/>
    <dgm:cxn modelId="{25D6AAAC-76DA-47D8-B035-DA38E12C5473}" srcId="{D602B03B-4343-4D1B-B1E2-7DB6803FF2E8}" destId="{4DE500C0-E435-49FC-A86C-BB2E8B7320D3}" srcOrd="3" destOrd="0" parTransId="{A5657207-8AD1-4CB2-B34F-C27D2640DDC1}" sibTransId="{D9749F3E-85F4-42F2-A122-C3DBEC7BCA28}"/>
    <dgm:cxn modelId="{86647DBB-4186-4FB6-A080-9EDCD3710F52}" type="presOf" srcId="{EEACD32C-5FCC-4091-9D85-5C7A118C0257}" destId="{722EAE00-4811-47B5-BCA5-2A33C0D8E108}" srcOrd="1" destOrd="0" presId="urn:microsoft.com/office/officeart/2005/8/layout/process1"/>
    <dgm:cxn modelId="{4863BBDA-BF56-4152-BC1D-CB4DD9DFEBDE}" type="presOf" srcId="{EEACD32C-5FCC-4091-9D85-5C7A118C0257}" destId="{BA5CFAFB-B19C-44D8-B1D3-B21279DF573A}" srcOrd="0" destOrd="0" presId="urn:microsoft.com/office/officeart/2005/8/layout/process1"/>
    <dgm:cxn modelId="{6CFD18EC-732E-403D-86AC-CE7800FC22A5}" type="presOf" srcId="{FBF302AC-E1AB-4333-A2C8-DA92F8F0C093}" destId="{F487052F-8953-4EFC-91B1-B66354AFBCC7}" srcOrd="0" destOrd="0" presId="urn:microsoft.com/office/officeart/2005/8/layout/process1"/>
    <dgm:cxn modelId="{50633DF7-E225-4B1C-B2FD-A60873308E70}" type="presOf" srcId="{EB60102B-A88D-4FE9-9E8C-18486531F40D}" destId="{2CF69A59-325C-4308-9EC7-3BE64160BCD6}" srcOrd="1" destOrd="0" presId="urn:microsoft.com/office/officeart/2005/8/layout/process1"/>
    <dgm:cxn modelId="{5EE18523-6D78-451C-80C8-23376EBA413A}" type="presParOf" srcId="{24DAC95C-3CCE-4CA1-827F-AE33A982BFB2}" destId="{F487052F-8953-4EFC-91B1-B66354AFBCC7}" srcOrd="0" destOrd="0" presId="urn:microsoft.com/office/officeart/2005/8/layout/process1"/>
    <dgm:cxn modelId="{92AD68AF-D6B3-47CF-8988-EA332794E4B1}" type="presParOf" srcId="{24DAC95C-3CCE-4CA1-827F-AE33A982BFB2}" destId="{B74928CD-5E53-48BC-B48E-A6E364DB01F2}" srcOrd="1" destOrd="0" presId="urn:microsoft.com/office/officeart/2005/8/layout/process1"/>
    <dgm:cxn modelId="{28E1F8A7-07C9-4316-8C48-E4E8A5F38017}" type="presParOf" srcId="{B74928CD-5E53-48BC-B48E-A6E364DB01F2}" destId="{96EE4BA4-CFF6-4871-B50D-D9B769D60E17}" srcOrd="0" destOrd="0" presId="urn:microsoft.com/office/officeart/2005/8/layout/process1"/>
    <dgm:cxn modelId="{F8D9C598-9325-447E-8AA3-27DB99B93DE5}" type="presParOf" srcId="{24DAC95C-3CCE-4CA1-827F-AE33A982BFB2}" destId="{1B53A757-B516-4B98-9397-A644A77B1384}" srcOrd="2" destOrd="0" presId="urn:microsoft.com/office/officeart/2005/8/layout/process1"/>
    <dgm:cxn modelId="{F0C28C27-2731-4A95-B18F-35DBD21EFAEB}" type="presParOf" srcId="{24DAC95C-3CCE-4CA1-827F-AE33A982BFB2}" destId="{BA5CFAFB-B19C-44D8-B1D3-B21279DF573A}" srcOrd="3" destOrd="0" presId="urn:microsoft.com/office/officeart/2005/8/layout/process1"/>
    <dgm:cxn modelId="{7C2B23A8-F87D-43D1-8B3B-B9A38AA1297C}" type="presParOf" srcId="{BA5CFAFB-B19C-44D8-B1D3-B21279DF573A}" destId="{722EAE00-4811-47B5-BCA5-2A33C0D8E108}" srcOrd="0" destOrd="0" presId="urn:microsoft.com/office/officeart/2005/8/layout/process1"/>
    <dgm:cxn modelId="{1A3FE18B-E323-4BC7-B2EE-EC45E60004A6}" type="presParOf" srcId="{24DAC95C-3CCE-4CA1-827F-AE33A982BFB2}" destId="{240F12D8-A01C-4AE7-B2DF-34D8E8F4043A}" srcOrd="4" destOrd="0" presId="urn:microsoft.com/office/officeart/2005/8/layout/process1"/>
    <dgm:cxn modelId="{7FA17C24-CC36-4E63-ABCF-551AF39E8B0F}" type="presParOf" srcId="{24DAC95C-3CCE-4CA1-827F-AE33A982BFB2}" destId="{DA2D84FB-410A-49D2-8B10-B3F60CA7E95E}" srcOrd="5" destOrd="0" presId="urn:microsoft.com/office/officeart/2005/8/layout/process1"/>
    <dgm:cxn modelId="{C2868BEE-5A9A-40D1-BBC4-EAB8216108B9}" type="presParOf" srcId="{DA2D84FB-410A-49D2-8B10-B3F60CA7E95E}" destId="{2CF69A59-325C-4308-9EC7-3BE64160BCD6}" srcOrd="0" destOrd="0" presId="urn:microsoft.com/office/officeart/2005/8/layout/process1"/>
    <dgm:cxn modelId="{B6D2E6AA-1EE9-45D1-A281-8BA334A0C801}" type="presParOf" srcId="{24DAC95C-3CCE-4CA1-827F-AE33A982BFB2}" destId="{A39D1178-FDF9-4326-8659-72140B605DEE}" srcOrd="6"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87052F-8953-4EFC-91B1-B66354AFBCC7}">
      <dsp:nvSpPr>
        <dsp:cNvPr id="0" name=""/>
        <dsp:cNvSpPr/>
      </dsp:nvSpPr>
      <dsp:spPr>
        <a:xfrm>
          <a:off x="2738" y="75036"/>
          <a:ext cx="1197313" cy="95410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itchFamily="18" charset="0"/>
              <a:cs typeface="Times New Roman" pitchFamily="18" charset="0"/>
            </a:rPr>
            <a:t>2018 m. mokėsi 3432 vaikai, profilaktiškai pasitikrinę sveikatą</a:t>
          </a:r>
        </a:p>
      </dsp:txBody>
      <dsp:txXfrm>
        <a:off x="30683" y="102981"/>
        <a:ext cx="1141423" cy="898219"/>
      </dsp:txXfrm>
    </dsp:sp>
    <dsp:sp modelId="{B74928CD-5E53-48BC-B48E-A6E364DB01F2}">
      <dsp:nvSpPr>
        <dsp:cNvPr id="0" name=""/>
        <dsp:cNvSpPr/>
      </dsp:nvSpPr>
      <dsp:spPr>
        <a:xfrm>
          <a:off x="1319783" y="403624"/>
          <a:ext cx="253830" cy="296933"/>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lt-LT" sz="1200" kern="1200"/>
        </a:p>
      </dsp:txBody>
      <dsp:txXfrm>
        <a:off x="1319783" y="463011"/>
        <a:ext cx="177681" cy="178159"/>
      </dsp:txXfrm>
    </dsp:sp>
    <dsp:sp modelId="{1B53A757-B516-4B98-9397-A644A77B1384}">
      <dsp:nvSpPr>
        <dsp:cNvPr id="0" name=""/>
        <dsp:cNvSpPr/>
      </dsp:nvSpPr>
      <dsp:spPr>
        <a:xfrm>
          <a:off x="1678977" y="75036"/>
          <a:ext cx="1197313" cy="95410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itchFamily="18" charset="0"/>
              <a:cs typeface="Times New Roman" pitchFamily="18" charset="0"/>
            </a:rPr>
            <a:t>2974 vaikai galėjo dalyvauti ugdymo veikloje be apribojimų</a:t>
          </a:r>
        </a:p>
      </dsp:txBody>
      <dsp:txXfrm>
        <a:off x="1706922" y="102981"/>
        <a:ext cx="1141423" cy="898219"/>
      </dsp:txXfrm>
    </dsp:sp>
    <dsp:sp modelId="{BA5CFAFB-B19C-44D8-B1D3-B21279DF573A}">
      <dsp:nvSpPr>
        <dsp:cNvPr id="0" name=""/>
        <dsp:cNvSpPr/>
      </dsp:nvSpPr>
      <dsp:spPr>
        <a:xfrm>
          <a:off x="2996021" y="403624"/>
          <a:ext cx="253830" cy="296933"/>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lt-LT" sz="1200" kern="1200"/>
        </a:p>
      </dsp:txBody>
      <dsp:txXfrm>
        <a:off x="2996021" y="463011"/>
        <a:ext cx="177681" cy="178159"/>
      </dsp:txXfrm>
    </dsp:sp>
    <dsp:sp modelId="{240F12D8-A01C-4AE7-B2DF-34D8E8F4043A}">
      <dsp:nvSpPr>
        <dsp:cNvPr id="0" name=""/>
        <dsp:cNvSpPr/>
      </dsp:nvSpPr>
      <dsp:spPr>
        <a:xfrm>
          <a:off x="3355215" y="75036"/>
          <a:ext cx="1197313" cy="95410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itchFamily="18" charset="0"/>
              <a:cs typeface="Times New Roman" pitchFamily="18" charset="0"/>
            </a:rPr>
            <a:t>Tai sudarė 87 proc. ugdymo įstaigą lankiusių 7-17 m. amžiaus vaikų</a:t>
          </a:r>
        </a:p>
      </dsp:txBody>
      <dsp:txXfrm>
        <a:off x="3383160" y="102981"/>
        <a:ext cx="1141423" cy="898219"/>
      </dsp:txXfrm>
    </dsp:sp>
    <dsp:sp modelId="{DA2D84FB-410A-49D2-8B10-B3F60CA7E95E}">
      <dsp:nvSpPr>
        <dsp:cNvPr id="0" name=""/>
        <dsp:cNvSpPr/>
      </dsp:nvSpPr>
      <dsp:spPr>
        <a:xfrm>
          <a:off x="4672260" y="403624"/>
          <a:ext cx="253830" cy="296933"/>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lt-LT" sz="1200" kern="1200"/>
        </a:p>
      </dsp:txBody>
      <dsp:txXfrm>
        <a:off x="4672260" y="463011"/>
        <a:ext cx="177681" cy="178159"/>
      </dsp:txXfrm>
    </dsp:sp>
    <dsp:sp modelId="{A39D1178-FDF9-4326-8659-72140B605DEE}">
      <dsp:nvSpPr>
        <dsp:cNvPr id="0" name=""/>
        <dsp:cNvSpPr/>
      </dsp:nvSpPr>
      <dsp:spPr>
        <a:xfrm>
          <a:off x="5031454" y="75036"/>
          <a:ext cx="1197313" cy="95410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latin typeface="Times New Roman" pitchFamily="18" charset="0"/>
              <a:cs typeface="Times New Roman" pitchFamily="18" charset="0"/>
            </a:rPr>
            <a:t>Sveikų vaikų dalis sumažėjo 3 proc. palyginus su 2017 m.</a:t>
          </a:r>
        </a:p>
      </dsp:txBody>
      <dsp:txXfrm>
        <a:off x="5059399" y="102981"/>
        <a:ext cx="1141423" cy="89821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0.22861</cdr:x>
      <cdr:y>0.50413</cdr:y>
    </cdr:from>
    <cdr:to>
      <cdr:x>0.28943</cdr:x>
      <cdr:y>0.57025</cdr:y>
    </cdr:to>
    <cdr:sp macro="" textlink="">
      <cdr:nvSpPr>
        <cdr:cNvPr id="3" name="Tiesioji rodyklės jungtis 2"/>
        <cdr:cNvSpPr/>
      </cdr:nvSpPr>
      <cdr:spPr>
        <a:xfrm xmlns:a="http://schemas.openxmlformats.org/drawingml/2006/main">
          <a:off x="1102385" y="1052422"/>
          <a:ext cx="293298" cy="138023"/>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dr:relSizeAnchor xmlns:cdr="http://schemas.openxmlformats.org/drawingml/2006/chartDrawing">
    <cdr:from>
      <cdr:x>0.64364</cdr:x>
      <cdr:y>0.12679</cdr:y>
    </cdr:from>
    <cdr:to>
      <cdr:x>0.73166</cdr:x>
      <cdr:y>0.15513</cdr:y>
    </cdr:to>
    <cdr:sp macro="" textlink="">
      <cdr:nvSpPr>
        <cdr:cNvPr id="4" name="Tiesioji rodyklės jungtis 3"/>
        <cdr:cNvSpPr/>
      </cdr:nvSpPr>
      <cdr:spPr>
        <a:xfrm xmlns:a="http://schemas.openxmlformats.org/drawingml/2006/main" flipH="1">
          <a:off x="3103726" y="204522"/>
          <a:ext cx="424477" cy="45719"/>
        </a:xfrm>
        <a:prstGeom xmlns:a="http://schemas.openxmlformats.org/drawingml/2006/main" prst="straightConnector1">
          <a:avLst/>
        </a:prstGeom>
        <a:noFill xmlns:a="http://schemas.openxmlformats.org/drawingml/2006/main"/>
        <a:ln xmlns:a="http://schemas.openxmlformats.org/drawingml/2006/main" w="9525" cap="flat" cmpd="sng" algn="ctr">
          <a:solidFill>
            <a:sysClr val="windowText" lastClr="00000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lt-LT"/>
        </a:p>
      </cdr:txBody>
    </cdr:sp>
  </cdr:relSizeAnchor>
  <cdr:relSizeAnchor xmlns:cdr="http://schemas.openxmlformats.org/drawingml/2006/chartDrawing">
    <cdr:from>
      <cdr:x>0.43828</cdr:x>
      <cdr:y>0.06952</cdr:y>
    </cdr:from>
    <cdr:to>
      <cdr:x>0.49374</cdr:x>
      <cdr:y>0.11473</cdr:y>
    </cdr:to>
    <cdr:sp macro="" textlink="">
      <cdr:nvSpPr>
        <cdr:cNvPr id="5" name="Tiesioji rodyklės jungtis 4"/>
        <cdr:cNvSpPr/>
      </cdr:nvSpPr>
      <cdr:spPr>
        <a:xfrm xmlns:a="http://schemas.openxmlformats.org/drawingml/2006/main">
          <a:off x="2113472" y="112143"/>
          <a:ext cx="267408" cy="72925"/>
        </a:xfrm>
        <a:prstGeom xmlns:a="http://schemas.openxmlformats.org/drawingml/2006/main" prst="straightConnector1">
          <a:avLst/>
        </a:prstGeom>
        <a:noFill xmlns:a="http://schemas.openxmlformats.org/drawingml/2006/main"/>
        <a:ln xmlns:a="http://schemas.openxmlformats.org/drawingml/2006/main" w="9525" cap="flat" cmpd="sng" algn="ctr">
          <a:solidFill>
            <a:sysClr val="windowText" lastClr="00000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lt-LT"/>
        </a:p>
      </cdr:txBody>
    </cdr:sp>
  </cdr:relSizeAnchor>
  <cdr:relSizeAnchor xmlns:cdr="http://schemas.openxmlformats.org/drawingml/2006/chartDrawing">
    <cdr:from>
      <cdr:x>0.678</cdr:x>
      <cdr:y>0.51216</cdr:y>
    </cdr:from>
    <cdr:to>
      <cdr:x>0.76707</cdr:x>
      <cdr:y>0.53406</cdr:y>
    </cdr:to>
    <cdr:sp macro="" textlink="">
      <cdr:nvSpPr>
        <cdr:cNvPr id="6" name="Tiesioji rodyklės jungtis 5"/>
        <cdr:cNvSpPr/>
      </cdr:nvSpPr>
      <cdr:spPr>
        <a:xfrm xmlns:a="http://schemas.openxmlformats.org/drawingml/2006/main" flipH="1" flipV="1">
          <a:off x="3269405" y="826181"/>
          <a:ext cx="429511" cy="35327"/>
        </a:xfrm>
        <a:prstGeom xmlns:a="http://schemas.openxmlformats.org/drawingml/2006/main" prst="straightConnector1">
          <a:avLst/>
        </a:prstGeom>
        <a:noFill xmlns:a="http://schemas.openxmlformats.org/drawingml/2006/main"/>
        <a:ln xmlns:a="http://schemas.openxmlformats.org/drawingml/2006/main" w="9525" cap="flat" cmpd="sng" algn="ctr">
          <a:solidFill>
            <a:sysClr val="windowText" lastClr="00000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lt-LT"/>
        </a:p>
      </cdr:txBody>
    </cdr:sp>
  </cdr:relSizeAnchor>
</c:userShapes>
</file>

<file path=word/drawings/drawing2.xml><?xml version="1.0" encoding="utf-8"?>
<c:userShapes xmlns:c="http://schemas.openxmlformats.org/drawingml/2006/chart">
  <cdr:relSizeAnchor xmlns:cdr="http://schemas.openxmlformats.org/drawingml/2006/chartDrawing">
    <cdr:from>
      <cdr:x>0.27093</cdr:x>
      <cdr:y>0.60678</cdr:y>
    </cdr:from>
    <cdr:to>
      <cdr:x>0.34168</cdr:x>
      <cdr:y>0.60947</cdr:y>
    </cdr:to>
    <cdr:sp macro="" textlink="">
      <cdr:nvSpPr>
        <cdr:cNvPr id="3" name="Tiesioji rodyklės jungtis 2"/>
        <cdr:cNvSpPr/>
      </cdr:nvSpPr>
      <cdr:spPr>
        <a:xfrm xmlns:a="http://schemas.openxmlformats.org/drawingml/2006/main">
          <a:off x="1350378" y="1287639"/>
          <a:ext cx="352661" cy="572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dr:relSizeAnchor xmlns:cdr="http://schemas.openxmlformats.org/drawingml/2006/chartDrawing">
    <cdr:from>
      <cdr:x>0.40925</cdr:x>
      <cdr:y>0.14523</cdr:y>
    </cdr:from>
    <cdr:to>
      <cdr:x>0.4486</cdr:x>
      <cdr:y>0.16847</cdr:y>
    </cdr:to>
    <cdr:sp macro="" textlink="">
      <cdr:nvSpPr>
        <cdr:cNvPr id="4" name="Tiesioji rodyklės jungtis 3"/>
        <cdr:cNvSpPr/>
      </cdr:nvSpPr>
      <cdr:spPr>
        <a:xfrm xmlns:a="http://schemas.openxmlformats.org/drawingml/2006/main">
          <a:off x="2061713" y="285632"/>
          <a:ext cx="198256" cy="45719"/>
        </a:xfrm>
        <a:prstGeom xmlns:a="http://schemas.openxmlformats.org/drawingml/2006/main" prst="straightConnector1">
          <a:avLst/>
        </a:prstGeom>
        <a:noFill xmlns:a="http://schemas.openxmlformats.org/drawingml/2006/main"/>
        <a:ln xmlns:a="http://schemas.openxmlformats.org/drawingml/2006/main" w="9525" cap="flat" cmpd="sng" algn="ctr">
          <a:solidFill>
            <a:sysClr val="windowText" lastClr="00000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lt-LT"/>
        </a:p>
      </cdr:txBody>
    </cdr:sp>
  </cdr:relSizeAnchor>
  <cdr:relSizeAnchor xmlns:cdr="http://schemas.openxmlformats.org/drawingml/2006/chartDrawing">
    <cdr:from>
      <cdr:x>0.51728</cdr:x>
      <cdr:y>0.12518</cdr:y>
    </cdr:from>
    <cdr:to>
      <cdr:x>0.56445</cdr:x>
      <cdr:y>0.14836</cdr:y>
    </cdr:to>
    <cdr:sp macro="" textlink="">
      <cdr:nvSpPr>
        <cdr:cNvPr id="5" name="Tiesioji rodyklės jungtis 4"/>
        <cdr:cNvSpPr/>
      </cdr:nvSpPr>
      <cdr:spPr>
        <a:xfrm xmlns:a="http://schemas.openxmlformats.org/drawingml/2006/main" flipH="1" flipV="1">
          <a:off x="2578288" y="265651"/>
          <a:ext cx="235107" cy="49190"/>
        </a:xfrm>
        <a:prstGeom xmlns:a="http://schemas.openxmlformats.org/drawingml/2006/main" prst="straightConnector1">
          <a:avLst/>
        </a:prstGeom>
        <a:noFill xmlns:a="http://schemas.openxmlformats.org/drawingml/2006/main"/>
        <a:ln xmlns:a="http://schemas.openxmlformats.org/drawingml/2006/main" w="9525" cap="flat" cmpd="sng" algn="ctr">
          <a:solidFill>
            <a:sysClr val="windowText" lastClr="00000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lt-LT"/>
        </a:p>
      </cdr:txBody>
    </cdr:sp>
  </cdr:relSizeAnchor>
</c:userShapes>
</file>

<file path=word/drawings/drawing3.xml><?xml version="1.0" encoding="utf-8"?>
<c:userShapes xmlns:c="http://schemas.openxmlformats.org/drawingml/2006/chart">
  <cdr:relSizeAnchor xmlns:cdr="http://schemas.openxmlformats.org/drawingml/2006/chartDrawing">
    <cdr:from>
      <cdr:x>0.70574</cdr:x>
      <cdr:y>0.27632</cdr:y>
    </cdr:from>
    <cdr:to>
      <cdr:x>0.76449</cdr:x>
      <cdr:y>0.3685</cdr:y>
    </cdr:to>
    <cdr:sp macro="" textlink="">
      <cdr:nvSpPr>
        <cdr:cNvPr id="6" name="Tiesioji rodyklės jungtis 5"/>
        <cdr:cNvSpPr/>
      </cdr:nvSpPr>
      <cdr:spPr>
        <a:xfrm xmlns:a="http://schemas.openxmlformats.org/drawingml/2006/main" rot="10800000" flipV="1">
          <a:off x="3360575" y="543465"/>
          <a:ext cx="279771" cy="181302"/>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dr:relSizeAnchor xmlns:cdr="http://schemas.openxmlformats.org/drawingml/2006/chartDrawing">
    <cdr:from>
      <cdr:x>0.24729</cdr:x>
      <cdr:y>0.19737</cdr:y>
    </cdr:from>
    <cdr:to>
      <cdr:x>0.31522</cdr:x>
      <cdr:y>0.25439</cdr:y>
    </cdr:to>
    <cdr:sp macro="" textlink="">
      <cdr:nvSpPr>
        <cdr:cNvPr id="7" name="Tiesioji rodyklės jungtis 6"/>
        <cdr:cNvSpPr/>
      </cdr:nvSpPr>
      <cdr:spPr>
        <a:xfrm xmlns:a="http://schemas.openxmlformats.org/drawingml/2006/main" rot="10800000" flipH="1" flipV="1">
          <a:off x="1177528" y="388188"/>
          <a:ext cx="323467" cy="112144"/>
        </a:xfrm>
        <a:prstGeom xmlns:a="http://schemas.openxmlformats.org/drawingml/2006/main" prst="straightConnector1">
          <a:avLst/>
        </a:prstGeom>
        <a:noFill xmlns:a="http://schemas.openxmlformats.org/drawingml/2006/main"/>
        <a:ln xmlns:a="http://schemas.openxmlformats.org/drawingml/2006/main" w="9525" cap="flat" cmpd="sng" algn="ctr">
          <a:solidFill>
            <a:sysClr val="windowText" lastClr="00000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lt-LT"/>
        </a:p>
      </cdr:txBody>
    </cdr:sp>
  </cdr:relSizeAnchor>
  <cdr:relSizeAnchor xmlns:cdr="http://schemas.openxmlformats.org/drawingml/2006/chartDrawing">
    <cdr:from>
      <cdr:x>0.26993</cdr:x>
      <cdr:y>0.82456</cdr:y>
    </cdr:from>
    <cdr:to>
      <cdr:x>0.375</cdr:x>
      <cdr:y>0.9079</cdr:y>
    </cdr:to>
    <cdr:sp macro="" textlink="">
      <cdr:nvSpPr>
        <cdr:cNvPr id="8" name="Tiesioji rodyklės jungtis 7"/>
        <cdr:cNvSpPr/>
      </cdr:nvSpPr>
      <cdr:spPr>
        <a:xfrm xmlns:a="http://schemas.openxmlformats.org/drawingml/2006/main" rot="10800000" flipH="1" flipV="1">
          <a:off x="1285336" y="1621766"/>
          <a:ext cx="500332" cy="163903"/>
        </a:xfrm>
        <a:prstGeom xmlns:a="http://schemas.openxmlformats.org/drawingml/2006/main" prst="straightConnector1">
          <a:avLst/>
        </a:prstGeom>
        <a:noFill xmlns:a="http://schemas.openxmlformats.org/drawingml/2006/main"/>
        <a:ln xmlns:a="http://schemas.openxmlformats.org/drawingml/2006/main" w="9525" cap="flat" cmpd="sng" algn="ctr">
          <a:solidFill>
            <a:sysClr val="windowText" lastClr="00000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lt-LT"/>
        </a:p>
      </cdr:txBody>
    </cdr:sp>
  </cdr:relSizeAnchor>
  <cdr:relSizeAnchor xmlns:cdr="http://schemas.openxmlformats.org/drawingml/2006/chartDrawing">
    <cdr:from>
      <cdr:x>0.21196</cdr:x>
      <cdr:y>0.53509</cdr:y>
    </cdr:from>
    <cdr:to>
      <cdr:x>0.29891</cdr:x>
      <cdr:y>0.61842</cdr:y>
    </cdr:to>
    <cdr:sp macro="" textlink="">
      <cdr:nvSpPr>
        <cdr:cNvPr id="9" name="Tiesioji rodyklės jungtis 8"/>
        <cdr:cNvSpPr/>
      </cdr:nvSpPr>
      <cdr:spPr>
        <a:xfrm xmlns:a="http://schemas.openxmlformats.org/drawingml/2006/main" rot="10800000" flipH="1" flipV="1">
          <a:off x="1009288" y="1052422"/>
          <a:ext cx="414070" cy="163901"/>
        </a:xfrm>
        <a:prstGeom xmlns:a="http://schemas.openxmlformats.org/drawingml/2006/main" prst="straightConnector1">
          <a:avLst/>
        </a:prstGeom>
        <a:noFill xmlns:a="http://schemas.openxmlformats.org/drawingml/2006/main"/>
        <a:ln xmlns:a="http://schemas.openxmlformats.org/drawingml/2006/main" w="9525" cap="flat" cmpd="sng" algn="ctr">
          <a:solidFill>
            <a:sysClr val="windowText" lastClr="00000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lt-LT"/>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25F66-3222-48F3-BFAC-8DD2B654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7770</Words>
  <Characters>4429</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12175</CharactersWithSpaces>
  <SharedDoc>false</SharedDoc>
  <HLinks>
    <vt:vector size="6" baseType="variant">
      <vt:variant>
        <vt:i4>4587562</vt:i4>
      </vt:variant>
      <vt:variant>
        <vt:i4>0</vt:i4>
      </vt:variant>
      <vt:variant>
        <vt:i4>0</vt:i4>
      </vt:variant>
      <vt:variant>
        <vt:i4>5</vt:i4>
      </vt:variant>
      <vt:variant>
        <vt:lpwstr>mailto:astakavaliauskiene1@gmail.com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Rasa Simonavičienė</cp:lastModifiedBy>
  <cp:revision>2</cp:revision>
  <cp:lastPrinted>2020-06-25T07:48:00Z</cp:lastPrinted>
  <dcterms:created xsi:type="dcterms:W3CDTF">2020-06-25T09:56:00Z</dcterms:created>
  <dcterms:modified xsi:type="dcterms:W3CDTF">2020-06-25T09:56:00Z</dcterms:modified>
</cp:coreProperties>
</file>