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824A04" w:rsidRDefault="00F90415" w:rsidP="00F90415">
      <w:pPr>
        <w:spacing w:after="182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STOROSIOS ŽARNOS VĖŽIO ANKSTYVOSIOS DIAGNOSTIKOS PREVENCINIŲ PRIEMONIŲ, APMOKAMŲ IŠ PRIVALOMOJO SVEIKATOS DRAUDIMO FONDO BIUDŽETO LĖŠŲ, FINANSAVIMO PROGRAMOS VYKDYMAS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br/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01</w:t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6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METAIS, RASEINIŲ RAJONO SAVIVALDYBĖJE</w:t>
      </w:r>
    </w:p>
    <w:p w:rsidR="00824A04" w:rsidRPr="00824A04" w:rsidRDefault="00824A04" w:rsidP="00A605DE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t-LT"/>
        </w:rPr>
      </w:pPr>
    </w:p>
    <w:tbl>
      <w:tblPr>
        <w:tblW w:w="9841" w:type="dxa"/>
        <w:tblCellMar>
          <w:top w:w="18" w:type="dxa"/>
          <w:left w:w="18" w:type="dxa"/>
          <w:right w:w="18" w:type="dxa"/>
        </w:tblCellMar>
        <w:tblLook w:val="04A0"/>
      </w:tblPr>
      <w:tblGrid>
        <w:gridCol w:w="4039"/>
        <w:gridCol w:w="1250"/>
        <w:gridCol w:w="1277"/>
        <w:gridCol w:w="668"/>
        <w:gridCol w:w="1330"/>
        <w:gridCol w:w="1277"/>
      </w:tblGrid>
      <w:tr w:rsidR="00824A04" w:rsidRPr="00C00A99" w:rsidTr="00387C40">
        <w:trPr>
          <w:trHeight w:val="252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teikiančios įstaigos pavadinimas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824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an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čioje įstaigoje įregistruotų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skaičius (50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74 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etų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Planuojama patikrinti per ataskaitinį laikotarpį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Inform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uotų pacientų skaičius</w:t>
            </w:r>
          </w:p>
        </w:tc>
      </w:tr>
      <w:tr w:rsidR="00824A04" w:rsidRPr="00C00A99" w:rsidTr="00387C40">
        <w:trPr>
          <w:trHeight w:val="1512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vnt.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paslaugą teikiančioje įstaigoje įregistruotų)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planuojamų patikrinti per ataskaitinį laikotarpį)</w:t>
            </w:r>
          </w:p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Raseinių pirminės sveikatos priežiūros centras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44,94</w:t>
            </w: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 Ariogalos pirminės sveikatos priežiūros centras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34,95</w:t>
            </w: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IĮ G.</w:t>
            </w:r>
            <w:r w:rsidR="00BA41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RADAVIČIAUS KLINIKA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15,04</w:t>
            </w: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MediCa klinika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Uždaroji akcinė bendrovė Raseinių šeimos gydytojų centras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51,03</w:t>
            </w:r>
          </w:p>
        </w:tc>
      </w:tr>
      <w:tr w:rsidR="00824A04" w:rsidRPr="00C00A99" w:rsidTr="00387C40">
        <w:trPr>
          <w:trHeight w:val="25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4974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24A04" w:rsidRPr="00C00A99" w:rsidRDefault="00824A04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41,31</w:t>
            </w:r>
          </w:p>
        </w:tc>
      </w:tr>
    </w:tbl>
    <w:p w:rsidR="00A605DE" w:rsidRDefault="00A605DE" w:rsidP="00A605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A605DE" w:rsidRDefault="00A605DE" w:rsidP="00387C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 w:rsidRPr="0063564E">
        <w:rPr>
          <w:rFonts w:ascii="Times New Roman" w:hAnsi="Times New Roman"/>
          <w:sz w:val="24"/>
        </w:rPr>
        <w:t>Kauno teritorinės ligonių kasos duomenimis</w:t>
      </w:r>
      <w:r w:rsidR="00080117">
        <w:rPr>
          <w:rFonts w:ascii="Times New Roman" w:hAnsi="Times New Roman"/>
          <w:sz w:val="24"/>
        </w:rPr>
        <w:t>,</w:t>
      </w:r>
      <w:r w:rsidR="00B33029" w:rsidRPr="00B33029">
        <w:rPr>
          <w:rFonts w:ascii="Times New Roman" w:hAnsi="Times New Roman"/>
          <w:sz w:val="24"/>
          <w:lang w:bidi="lo-LA"/>
        </w:rPr>
        <w:t xml:space="preserve"> 2016 m. </w:t>
      </w:r>
      <w:r w:rsidR="00387C40">
        <w:rPr>
          <w:rFonts w:ascii="Times New Roman" w:hAnsi="Times New Roman"/>
          <w:sz w:val="24"/>
          <w:lang w:bidi="lo-LA"/>
        </w:rPr>
        <w:t>lyginant su 2015 m.</w:t>
      </w:r>
      <w:r w:rsidR="00080117">
        <w:rPr>
          <w:rFonts w:ascii="Times New Roman" w:hAnsi="Times New Roman"/>
          <w:sz w:val="24"/>
          <w:lang w:bidi="lo-LA"/>
        </w:rPr>
        <w:t xml:space="preserve"> </w:t>
      </w:r>
      <w:r w:rsidR="00B33029" w:rsidRPr="00B33029">
        <w:rPr>
          <w:rFonts w:ascii="Times New Roman" w:hAnsi="Times New Roman"/>
          <w:sz w:val="24"/>
          <w:lang w:bidi="lo-LA"/>
        </w:rPr>
        <w:t xml:space="preserve">storosios žarnos vėžio ankstyvosios diagnostikos informavimo paslaugos vykdymas </w:t>
      </w:r>
      <w:r w:rsidR="00080117">
        <w:rPr>
          <w:rFonts w:ascii="Times New Roman" w:hAnsi="Times New Roman"/>
          <w:sz w:val="24"/>
          <w:lang w:bidi="lo-LA"/>
        </w:rPr>
        <w:t>ženkliai sumažėjo Vilkaviškio r</w:t>
      </w:r>
      <w:r w:rsidR="00B33029">
        <w:rPr>
          <w:rFonts w:ascii="Times New Roman" w:hAnsi="Times New Roman"/>
          <w:sz w:val="24"/>
          <w:lang w:bidi="lo-LA"/>
        </w:rPr>
        <w:t>., Marijampolės, Kazlų Rūdos</w:t>
      </w:r>
      <w:r w:rsidR="00080117">
        <w:rPr>
          <w:rFonts w:ascii="Times New Roman" w:hAnsi="Times New Roman"/>
          <w:sz w:val="24"/>
          <w:lang w:bidi="lo-LA"/>
        </w:rPr>
        <w:t xml:space="preserve">, Kalvarijos, Šakių r. </w:t>
      </w:r>
      <w:r w:rsidR="00B33029">
        <w:rPr>
          <w:rFonts w:ascii="Times New Roman" w:hAnsi="Times New Roman"/>
          <w:sz w:val="24"/>
          <w:lang w:bidi="lo-LA"/>
        </w:rPr>
        <w:t xml:space="preserve"> ir Kėdainių r. savivaldybė</w:t>
      </w:r>
      <w:r w:rsidR="00080117">
        <w:rPr>
          <w:rFonts w:ascii="Times New Roman" w:hAnsi="Times New Roman"/>
          <w:sz w:val="24"/>
          <w:lang w:bidi="lo-LA"/>
        </w:rPr>
        <w:t>se</w:t>
      </w:r>
      <w:r w:rsidR="00B33029">
        <w:rPr>
          <w:rFonts w:ascii="Times New Roman" w:hAnsi="Times New Roman"/>
          <w:sz w:val="24"/>
        </w:rPr>
        <w:t xml:space="preserve"> </w:t>
      </w:r>
      <w:r w:rsidRPr="0063564E">
        <w:rPr>
          <w:rFonts w:ascii="Times New Roman" w:hAnsi="Times New Roman"/>
          <w:sz w:val="24"/>
          <w:lang w:bidi="lo-LA"/>
        </w:rPr>
        <w:t>(1 pav.).</w:t>
      </w:r>
    </w:p>
    <w:p w:rsidR="00A605DE" w:rsidRPr="0063564E" w:rsidRDefault="00A605DE" w:rsidP="00387C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lang w:bidi="lo-LA"/>
        </w:rPr>
      </w:pPr>
      <w:r w:rsidRPr="0063564E">
        <w:rPr>
          <w:rFonts w:ascii="Times New Roman" w:hAnsi="Times New Roman"/>
          <w:noProof/>
          <w:color w:val="FF0000"/>
          <w:sz w:val="24"/>
          <w:lang w:eastAsia="lt-LT"/>
        </w:rPr>
        <w:drawing>
          <wp:inline distT="0" distB="0" distL="0" distR="0">
            <wp:extent cx="5067300" cy="2581275"/>
            <wp:effectExtent l="0" t="0" r="0" b="0"/>
            <wp:docPr id="6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05DE" w:rsidRPr="00A605DE" w:rsidRDefault="00A605DE" w:rsidP="005E6B1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605DE">
        <w:rPr>
          <w:rFonts w:ascii="Times New Roman" w:hAnsi="Times New Roman"/>
          <w:bCs/>
          <w:i/>
          <w:iCs/>
          <w:lang w:bidi="lo-LA"/>
        </w:rPr>
        <w:t xml:space="preserve">1 pav. </w:t>
      </w:r>
      <w:r w:rsidRPr="00A605DE">
        <w:rPr>
          <w:rFonts w:ascii="Times New Roman" w:hAnsi="Times New Roman"/>
          <w:b/>
          <w:i/>
          <w:iCs/>
          <w:lang w:bidi="lo-LA"/>
        </w:rPr>
        <w:t>Storosios žarnos vėžio ankstyvosios diagnostikos prevencinės programos informavimo paslaugos vykdymas Kauno apskrityje 2015 – 2016m.</w:t>
      </w:r>
      <w:r w:rsidR="00D34B87">
        <w:rPr>
          <w:rFonts w:ascii="Times New Roman" w:hAnsi="Times New Roman"/>
          <w:b/>
          <w:i/>
          <w:iCs/>
          <w:lang w:bidi="lo-LA"/>
        </w:rPr>
        <w:t xml:space="preserve"> (procentais nuo planuoto)</w:t>
      </w:r>
    </w:p>
    <w:p w:rsidR="00A605DE" w:rsidRPr="00B33029" w:rsidRDefault="00D34B87" w:rsidP="00D34B8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 w:rsidRPr="00B33029">
        <w:rPr>
          <w:rFonts w:ascii="Times New Roman" w:hAnsi="Times New Roman"/>
          <w:sz w:val="24"/>
          <w:lang w:bidi="lo-LA"/>
        </w:rPr>
        <w:lastRenderedPageBreak/>
        <w:t>Raseinių</w:t>
      </w:r>
      <w:r w:rsidR="00A605DE" w:rsidRPr="00B33029">
        <w:rPr>
          <w:rFonts w:ascii="Times New Roman" w:hAnsi="Times New Roman"/>
          <w:sz w:val="24"/>
          <w:lang w:bidi="lo-LA"/>
        </w:rPr>
        <w:t xml:space="preserve"> rajone šios programos informavimo paslaugos vykdymo procentas 201</w:t>
      </w:r>
      <w:r w:rsidRPr="00B33029">
        <w:rPr>
          <w:rFonts w:ascii="Times New Roman" w:hAnsi="Times New Roman"/>
          <w:sz w:val="24"/>
          <w:lang w:bidi="lo-LA"/>
        </w:rPr>
        <w:t>6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 lyginant su 201</w:t>
      </w:r>
      <w:r w:rsidRPr="00B33029">
        <w:rPr>
          <w:rFonts w:ascii="Times New Roman" w:hAnsi="Times New Roman"/>
          <w:sz w:val="24"/>
          <w:lang w:bidi="lo-LA"/>
        </w:rPr>
        <w:t>5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</w:t>
      </w:r>
      <w:r w:rsidRPr="00B33029">
        <w:rPr>
          <w:rFonts w:ascii="Times New Roman" w:hAnsi="Times New Roman"/>
          <w:sz w:val="24"/>
          <w:lang w:bidi="lo-LA"/>
        </w:rPr>
        <w:t xml:space="preserve"> neženkliai</w:t>
      </w:r>
      <w:r w:rsidR="00A605DE" w:rsidRPr="00B33029">
        <w:rPr>
          <w:rFonts w:ascii="Times New Roman" w:hAnsi="Times New Roman"/>
          <w:sz w:val="24"/>
          <w:lang w:bidi="lo-LA"/>
        </w:rPr>
        <w:t xml:space="preserve"> </w:t>
      </w:r>
      <w:r w:rsidRPr="00B33029">
        <w:rPr>
          <w:rFonts w:ascii="Times New Roman" w:hAnsi="Times New Roman"/>
          <w:sz w:val="24"/>
          <w:lang w:bidi="lo-LA"/>
        </w:rPr>
        <w:t>sumažėjo</w:t>
      </w:r>
      <w:r w:rsidR="00A605DE" w:rsidRPr="00B33029">
        <w:rPr>
          <w:rFonts w:ascii="Times New Roman" w:hAnsi="Times New Roman"/>
          <w:sz w:val="24"/>
          <w:lang w:bidi="lo-LA"/>
        </w:rPr>
        <w:t xml:space="preserve">. </w:t>
      </w:r>
      <w:r w:rsidRPr="00B33029">
        <w:rPr>
          <w:rFonts w:ascii="Times New Roman" w:hAnsi="Times New Roman"/>
          <w:sz w:val="24"/>
          <w:lang w:bidi="lo-LA"/>
        </w:rPr>
        <w:t>Raseinių</w:t>
      </w:r>
      <w:r w:rsidR="00A605DE" w:rsidRPr="00B33029">
        <w:rPr>
          <w:rFonts w:ascii="Times New Roman" w:hAnsi="Times New Roman"/>
          <w:sz w:val="24"/>
          <w:lang w:bidi="lo-LA"/>
        </w:rPr>
        <w:t xml:space="preserve"> rajone 201</w:t>
      </w:r>
      <w:r w:rsidRPr="00B33029">
        <w:rPr>
          <w:rFonts w:ascii="Times New Roman" w:hAnsi="Times New Roman"/>
          <w:sz w:val="24"/>
          <w:lang w:bidi="lo-LA"/>
        </w:rPr>
        <w:t>6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 storosios žarnos vėžio ankstyvosios diagnostikos informavimo paslaugos vykdymas buvo mažesnis už Kauno apskrities vidurkį (2 pav.).</w:t>
      </w:r>
    </w:p>
    <w:p w:rsidR="00A605DE" w:rsidRDefault="00A605DE" w:rsidP="00A605DE">
      <w:pPr>
        <w:spacing w:line="360" w:lineRule="auto"/>
        <w:ind w:firstLine="851"/>
        <w:jc w:val="both"/>
        <w:rPr>
          <w:bCs/>
          <w:i/>
          <w:iCs/>
        </w:rPr>
      </w:pPr>
      <w:r w:rsidRPr="00F96339">
        <w:rPr>
          <w:noProof/>
          <w:lang w:eastAsia="lt-LT"/>
        </w:rPr>
        <w:drawing>
          <wp:inline distT="0" distB="0" distL="0" distR="0">
            <wp:extent cx="5334000" cy="2266950"/>
            <wp:effectExtent l="19050" t="0" r="0" b="0"/>
            <wp:docPr id="7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05DE" w:rsidRPr="00A605DE" w:rsidRDefault="00A605DE" w:rsidP="005E6B11">
      <w:pPr>
        <w:spacing w:line="240" w:lineRule="auto"/>
        <w:ind w:firstLine="851"/>
        <w:jc w:val="center"/>
        <w:rPr>
          <w:rFonts w:ascii="Times New Roman" w:hAnsi="Times New Roman"/>
          <w:b/>
          <w:bCs/>
          <w:i/>
          <w:iCs/>
        </w:rPr>
      </w:pPr>
      <w:r w:rsidRPr="00A605DE">
        <w:rPr>
          <w:rFonts w:ascii="Times New Roman" w:hAnsi="Times New Roman"/>
          <w:bCs/>
          <w:i/>
          <w:iCs/>
        </w:rPr>
        <w:t>2 pav.</w:t>
      </w:r>
      <w:r w:rsidRPr="00A605DE">
        <w:rPr>
          <w:rFonts w:ascii="Times New Roman" w:hAnsi="Times New Roman"/>
          <w:b/>
          <w:bCs/>
          <w:i/>
          <w:iCs/>
        </w:rPr>
        <w:t xml:space="preserve"> 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Storosios žarnos vėžio ankstyvosios diagnostikos prevencinės programos informavimo paslaugos vykdymas Kauno apskrityje ir </w:t>
      </w:r>
      <w:r>
        <w:rPr>
          <w:rFonts w:ascii="Times New Roman" w:hAnsi="Times New Roman"/>
          <w:b/>
          <w:i/>
          <w:iCs/>
          <w:lang w:bidi="lo-LA"/>
        </w:rPr>
        <w:t>Raseinių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rajone 201</w:t>
      </w:r>
      <w:r>
        <w:rPr>
          <w:rFonts w:ascii="Times New Roman" w:hAnsi="Times New Roman"/>
          <w:b/>
          <w:i/>
          <w:iCs/>
          <w:lang w:bidi="lo-LA"/>
        </w:rPr>
        <w:t>3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– 201</w:t>
      </w:r>
      <w:r>
        <w:rPr>
          <w:rFonts w:ascii="Times New Roman" w:hAnsi="Times New Roman"/>
          <w:b/>
          <w:i/>
          <w:iCs/>
          <w:lang w:bidi="lo-LA"/>
        </w:rPr>
        <w:t>6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m.</w:t>
      </w:r>
      <w:r w:rsidR="00D34B87">
        <w:rPr>
          <w:rFonts w:ascii="Times New Roman" w:hAnsi="Times New Roman"/>
          <w:b/>
          <w:i/>
          <w:iCs/>
          <w:lang w:bidi="lo-LA"/>
        </w:rPr>
        <w:t xml:space="preserve"> (procentais nuo planuoto)</w:t>
      </w:r>
    </w:p>
    <w:p w:rsidR="00387C40" w:rsidRDefault="00387C40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A605DE" w:rsidRPr="00D34B87" w:rsidRDefault="00A605DE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D34B87">
        <w:rPr>
          <w:rFonts w:ascii="Times New Roman" w:hAnsi="Times New Roman"/>
          <w:b/>
          <w:sz w:val="24"/>
          <w:szCs w:val="28"/>
        </w:rPr>
        <w:t>Išvada:</w:t>
      </w:r>
    </w:p>
    <w:p w:rsidR="00A605DE" w:rsidRPr="00D34B87" w:rsidRDefault="00A605DE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D34B87">
        <w:rPr>
          <w:rFonts w:ascii="Times New Roman" w:hAnsi="Times New Roman"/>
          <w:b/>
          <w:sz w:val="24"/>
          <w:szCs w:val="28"/>
        </w:rPr>
        <w:t>201</w:t>
      </w:r>
      <w:r w:rsidR="00D34B87" w:rsidRPr="00D34B87">
        <w:rPr>
          <w:rFonts w:ascii="Times New Roman" w:hAnsi="Times New Roman"/>
          <w:b/>
          <w:sz w:val="24"/>
          <w:szCs w:val="28"/>
        </w:rPr>
        <w:t>6</w:t>
      </w:r>
      <w:r w:rsidRPr="00D34B87">
        <w:rPr>
          <w:rFonts w:ascii="Times New Roman" w:hAnsi="Times New Roman"/>
          <w:b/>
          <w:sz w:val="24"/>
          <w:szCs w:val="28"/>
        </w:rPr>
        <w:t xml:space="preserve"> m. lyginant su 201</w:t>
      </w:r>
      <w:r w:rsidR="00D34B87" w:rsidRPr="00D34B87">
        <w:rPr>
          <w:rFonts w:ascii="Times New Roman" w:hAnsi="Times New Roman"/>
          <w:b/>
          <w:sz w:val="24"/>
          <w:szCs w:val="28"/>
        </w:rPr>
        <w:t>5</w:t>
      </w:r>
      <w:r w:rsidRPr="00D34B87">
        <w:rPr>
          <w:rFonts w:ascii="Times New Roman" w:hAnsi="Times New Roman"/>
          <w:b/>
          <w:sz w:val="24"/>
          <w:szCs w:val="28"/>
        </w:rPr>
        <w:t xml:space="preserve"> m. storosios žarnos vėžio ankstyvosios diagnostikos prevencinės programos informavimo paslaugos vykdymas </w:t>
      </w:r>
      <w:r w:rsidR="00D34B87" w:rsidRPr="00D34B87">
        <w:rPr>
          <w:rFonts w:ascii="Times New Roman" w:hAnsi="Times New Roman"/>
          <w:b/>
          <w:sz w:val="24"/>
          <w:szCs w:val="28"/>
        </w:rPr>
        <w:t xml:space="preserve">Raseinių </w:t>
      </w:r>
      <w:r w:rsidRPr="00D34B87">
        <w:rPr>
          <w:rFonts w:ascii="Times New Roman" w:hAnsi="Times New Roman"/>
          <w:b/>
          <w:sz w:val="24"/>
          <w:szCs w:val="28"/>
        </w:rPr>
        <w:t xml:space="preserve">rajone </w:t>
      </w:r>
      <w:r w:rsidR="00D34B87" w:rsidRPr="00D34B87">
        <w:rPr>
          <w:rFonts w:ascii="Times New Roman" w:hAnsi="Times New Roman"/>
          <w:b/>
          <w:sz w:val="24"/>
          <w:szCs w:val="28"/>
        </w:rPr>
        <w:t>sumažėjo</w:t>
      </w:r>
      <w:r w:rsidRPr="00D34B87">
        <w:rPr>
          <w:rFonts w:ascii="Times New Roman" w:hAnsi="Times New Roman"/>
          <w:b/>
          <w:sz w:val="24"/>
          <w:szCs w:val="28"/>
        </w:rPr>
        <w:t xml:space="preserve">. </w:t>
      </w:r>
    </w:p>
    <w:p w:rsidR="00DA25F2" w:rsidRPr="00D34B87" w:rsidRDefault="00DA25F2" w:rsidP="00F90415">
      <w:pPr>
        <w:tabs>
          <w:tab w:val="left" w:pos="10206"/>
        </w:tabs>
        <w:rPr>
          <w:rFonts w:ascii="Times New Roman" w:hAnsi="Times New Roman"/>
          <w:sz w:val="20"/>
        </w:rPr>
      </w:pPr>
    </w:p>
    <w:sectPr w:rsidR="00DA25F2" w:rsidRPr="00D34B87" w:rsidSect="00A605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42" w:rsidRDefault="00451142" w:rsidP="00FE6213">
      <w:pPr>
        <w:spacing w:after="0" w:line="240" w:lineRule="auto"/>
      </w:pPr>
      <w:r>
        <w:separator/>
      </w:r>
    </w:p>
  </w:endnote>
  <w:endnote w:type="continuationSeparator" w:id="1">
    <w:p w:rsidR="00451142" w:rsidRDefault="00451142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42" w:rsidRDefault="00451142" w:rsidP="00FE6213">
      <w:pPr>
        <w:spacing w:after="0" w:line="240" w:lineRule="auto"/>
      </w:pPr>
      <w:r>
        <w:separator/>
      </w:r>
    </w:p>
  </w:footnote>
  <w:footnote w:type="continuationSeparator" w:id="1">
    <w:p w:rsidR="00451142" w:rsidRDefault="00451142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080117"/>
    <w:rsid w:val="000D2756"/>
    <w:rsid w:val="001102CD"/>
    <w:rsid w:val="002317DD"/>
    <w:rsid w:val="002B4A45"/>
    <w:rsid w:val="003148F1"/>
    <w:rsid w:val="00387C40"/>
    <w:rsid w:val="003E2F30"/>
    <w:rsid w:val="00404F54"/>
    <w:rsid w:val="004439CA"/>
    <w:rsid w:val="004444C9"/>
    <w:rsid w:val="00451142"/>
    <w:rsid w:val="00453327"/>
    <w:rsid w:val="00461776"/>
    <w:rsid w:val="005E6B11"/>
    <w:rsid w:val="00676667"/>
    <w:rsid w:val="006A0757"/>
    <w:rsid w:val="007332F7"/>
    <w:rsid w:val="00805EE0"/>
    <w:rsid w:val="00824A04"/>
    <w:rsid w:val="0086338E"/>
    <w:rsid w:val="0097487D"/>
    <w:rsid w:val="00985DEF"/>
    <w:rsid w:val="00A55D9B"/>
    <w:rsid w:val="00A605DE"/>
    <w:rsid w:val="00A6781E"/>
    <w:rsid w:val="00AA2CBD"/>
    <w:rsid w:val="00B33029"/>
    <w:rsid w:val="00BA4179"/>
    <w:rsid w:val="00D34B87"/>
    <w:rsid w:val="00D449EA"/>
    <w:rsid w:val="00D4751D"/>
    <w:rsid w:val="00DA25F2"/>
    <w:rsid w:val="00E72FB7"/>
    <w:rsid w:val="00EB6BF6"/>
    <w:rsid w:val="00F53A36"/>
    <w:rsid w:val="00F87B76"/>
    <w:rsid w:val="00F90415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05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plotArea>
      <c:layout>
        <c:manualLayout>
          <c:layoutTarget val="inner"/>
          <c:xMode val="edge"/>
          <c:yMode val="edge"/>
          <c:x val="0.26685560053981194"/>
          <c:y val="0"/>
          <c:w val="0.60225840191028768"/>
          <c:h val="0.87098184909984921"/>
        </c:manualLayout>
      </c:layout>
      <c:barChart>
        <c:barDir val="bar"/>
        <c:grouping val="clustered"/>
        <c:ser>
          <c:idx val="0"/>
          <c:order val="0"/>
          <c:tx>
            <c:strRef>
              <c:f>'storosios žarnos'!$C$17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'storosios žarnos'!$D$16:$P$16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'storosios žarnos'!$D$17:$P$17</c:f>
              <c:numCache>
                <c:formatCode>General</c:formatCode>
                <c:ptCount val="13"/>
                <c:pt idx="0">
                  <c:v>63.3</c:v>
                </c:pt>
                <c:pt idx="1">
                  <c:v>66.77</c:v>
                </c:pt>
                <c:pt idx="2">
                  <c:v>27.54</c:v>
                </c:pt>
                <c:pt idx="3">
                  <c:v>30.330000000000005</c:v>
                </c:pt>
                <c:pt idx="4">
                  <c:v>52.690000000000012</c:v>
                </c:pt>
                <c:pt idx="5">
                  <c:v>55.690000000000012</c:v>
                </c:pt>
                <c:pt idx="6">
                  <c:v>36.97</c:v>
                </c:pt>
                <c:pt idx="7">
                  <c:v>41.46</c:v>
                </c:pt>
                <c:pt idx="8">
                  <c:v>128.46</c:v>
                </c:pt>
                <c:pt idx="9">
                  <c:v>53.28</c:v>
                </c:pt>
                <c:pt idx="10">
                  <c:v>84.55</c:v>
                </c:pt>
                <c:pt idx="11">
                  <c:v>91.78</c:v>
                </c:pt>
                <c:pt idx="12">
                  <c:v>82.28</c:v>
                </c:pt>
              </c:numCache>
            </c:numRef>
          </c:val>
        </c:ser>
        <c:ser>
          <c:idx val="1"/>
          <c:order val="1"/>
          <c:tx>
            <c:strRef>
              <c:f>'storosios žarnos'!$C$18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0"/>
              <c:layout>
                <c:manualLayout>
                  <c:x val="0"/>
                  <c:y val="-9.4339622641509448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9.4339622641509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'storosios žarnos'!$D$16:$P$16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'storosios žarnos'!$D$18:$P$18</c:f>
              <c:numCache>
                <c:formatCode>General</c:formatCode>
                <c:ptCount val="13"/>
                <c:pt idx="0">
                  <c:v>62.32</c:v>
                </c:pt>
                <c:pt idx="1">
                  <c:v>60.03</c:v>
                </c:pt>
                <c:pt idx="2">
                  <c:v>25.27</c:v>
                </c:pt>
                <c:pt idx="3">
                  <c:v>30.86</c:v>
                </c:pt>
                <c:pt idx="4">
                  <c:v>58.120000000000012</c:v>
                </c:pt>
                <c:pt idx="5">
                  <c:v>36.910000000000004</c:v>
                </c:pt>
                <c:pt idx="6">
                  <c:v>50.08</c:v>
                </c:pt>
                <c:pt idx="7">
                  <c:v>41.309999999999995</c:v>
                </c:pt>
                <c:pt idx="8">
                  <c:v>34.68</c:v>
                </c:pt>
                <c:pt idx="9">
                  <c:v>32.44</c:v>
                </c:pt>
                <c:pt idx="10">
                  <c:v>39.770000000000003</c:v>
                </c:pt>
                <c:pt idx="11">
                  <c:v>54.01</c:v>
                </c:pt>
                <c:pt idx="12">
                  <c:v>30.939999999999987</c:v>
                </c:pt>
              </c:numCache>
            </c:numRef>
          </c:val>
        </c:ser>
        <c:axId val="105803136"/>
        <c:axId val="86605824"/>
      </c:barChart>
      <c:catAx>
        <c:axId val="105803136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86605824"/>
        <c:crosses val="autoZero"/>
        <c:auto val="1"/>
        <c:lblAlgn val="ctr"/>
        <c:lblOffset val="100"/>
      </c:catAx>
      <c:valAx>
        <c:axId val="866058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0.90190278846722971"/>
              <c:y val="0.90845070422535157"/>
            </c:manualLayout>
          </c:layout>
        </c:title>
        <c:numFmt formatCode="General" sourceLinked="1"/>
        <c:tickLblPos val="nextTo"/>
        <c:crossAx val="10580313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0599518810148906E-2"/>
          <c:y val="5.1400554097404488E-2"/>
          <c:w val="0.67082414698162762"/>
          <c:h val="0.80290500145815291"/>
        </c:manualLayout>
      </c:layout>
      <c:bar3DChart>
        <c:barDir val="col"/>
        <c:grouping val="clustered"/>
        <c:ser>
          <c:idx val="0"/>
          <c:order val="0"/>
          <c:tx>
            <c:strRef>
              <c:f>'storosios žarnos'!$D$24</c:f>
              <c:strCache>
                <c:ptCount val="1"/>
                <c:pt idx="0">
                  <c:v>Raseinių r. sav.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'storosios žarnos'!$C$25:$C$28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'storosios žarnos'!$D$25:$D$28</c:f>
              <c:numCache>
                <c:formatCode>General</c:formatCode>
                <c:ptCount val="4"/>
                <c:pt idx="0">
                  <c:v>30.59</c:v>
                </c:pt>
                <c:pt idx="1">
                  <c:v>41.46</c:v>
                </c:pt>
                <c:pt idx="2">
                  <c:v>41.46</c:v>
                </c:pt>
                <c:pt idx="3">
                  <c:v>41.309999999999995</c:v>
                </c:pt>
              </c:numCache>
            </c:numRef>
          </c:val>
        </c:ser>
        <c:ser>
          <c:idx val="1"/>
          <c:order val="1"/>
          <c:tx>
            <c:strRef>
              <c:f>'storosios žarnos'!$E$24</c:f>
              <c:strCache>
                <c:ptCount val="1"/>
                <c:pt idx="0">
                  <c:v>Kauno apskritis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'storosios žarnos'!$C$25:$C$28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'storosios žarnos'!$E$25:$E$28</c:f>
              <c:numCache>
                <c:formatCode>General</c:formatCode>
                <c:ptCount val="4"/>
                <c:pt idx="0">
                  <c:v>46.44</c:v>
                </c:pt>
                <c:pt idx="1">
                  <c:v>56.77</c:v>
                </c:pt>
                <c:pt idx="2">
                  <c:v>44.74</c:v>
                </c:pt>
                <c:pt idx="3">
                  <c:v>47.93</c:v>
                </c:pt>
              </c:numCache>
            </c:numRef>
          </c:val>
        </c:ser>
        <c:shape val="box"/>
        <c:axId val="86640128"/>
        <c:axId val="86641664"/>
        <c:axId val="0"/>
      </c:bar3DChart>
      <c:catAx>
        <c:axId val="86640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86641664"/>
        <c:crosses val="autoZero"/>
        <c:auto val="1"/>
        <c:lblAlgn val="ctr"/>
        <c:lblOffset val="100"/>
      </c:catAx>
      <c:valAx>
        <c:axId val="8664166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b="1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1.2318460192476031E-3"/>
              <c:y val="4.7754447360746888E-4"/>
            </c:manualLayout>
          </c:layout>
        </c:title>
        <c:numFmt formatCode="General" sourceLinked="1"/>
        <c:tickLblPos val="nextTo"/>
        <c:crossAx val="8664012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Asus1</cp:lastModifiedBy>
  <cp:revision>2</cp:revision>
  <dcterms:created xsi:type="dcterms:W3CDTF">2017-03-01T09:49:00Z</dcterms:created>
  <dcterms:modified xsi:type="dcterms:W3CDTF">2017-03-01T09:49:00Z</dcterms:modified>
</cp:coreProperties>
</file>